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A157CA">
        <w:rPr>
          <w:rFonts w:ascii="Times New Roman" w:hAnsi="Times New Roman" w:cs="Times New Roman"/>
          <w:b/>
          <w:sz w:val="40"/>
          <w:szCs w:val="40"/>
        </w:rPr>
        <w:t>Дугинского</w:t>
      </w:r>
      <w:proofErr w:type="spellEnd"/>
      <w:r w:rsidR="00B05F91"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w:t>
      </w:r>
      <w:proofErr w:type="spellStart"/>
      <w:r w:rsidR="001322AC">
        <w:rPr>
          <w:rFonts w:ascii="Times New Roman" w:hAnsi="Times New Roman" w:cs="Times New Roman"/>
          <w:b/>
          <w:sz w:val="40"/>
          <w:szCs w:val="40"/>
        </w:rPr>
        <w:t>Сычевский</w:t>
      </w:r>
      <w:proofErr w:type="spellEnd"/>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A157CA">
        <w:rPr>
          <w:rFonts w:ascii="Times New Roman" w:hAnsi="Times New Roman" w:cs="Times New Roman"/>
          <w:b/>
          <w:sz w:val="40"/>
          <w:szCs w:val="40"/>
        </w:rPr>
        <w:t>Дугинского</w:t>
      </w:r>
      <w:proofErr w:type="spellEnd"/>
      <w:r w:rsidR="009B17A9"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w:t>
      </w:r>
      <w:proofErr w:type="spellStart"/>
      <w:r w:rsidR="001322AC">
        <w:rPr>
          <w:rFonts w:ascii="Times New Roman" w:hAnsi="Times New Roman" w:cs="Times New Roman"/>
          <w:b/>
          <w:sz w:val="40"/>
          <w:szCs w:val="40"/>
        </w:rPr>
        <w:t>Сычевский</w:t>
      </w:r>
      <w:proofErr w:type="spellEnd"/>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450B6F"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38255C">
              <w:rPr>
                <w:noProof/>
                <w:webHidden/>
              </w:rPr>
              <w:t>10</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38255C">
              <w:rPr>
                <w:noProof/>
                <w:webHidden/>
              </w:rPr>
              <w:t>18</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38255C">
              <w:rPr>
                <w:noProof/>
                <w:webHidden/>
              </w:rPr>
              <w:t>23</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38255C">
              <w:rPr>
                <w:noProof/>
                <w:webHidden/>
              </w:rPr>
              <w:t>27</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38255C">
              <w:rPr>
                <w:noProof/>
                <w:webHidden/>
              </w:rPr>
              <w:t>32</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38255C">
              <w:rPr>
                <w:noProof/>
                <w:webHidden/>
              </w:rPr>
              <w:t>34</w:t>
            </w:r>
            <w:r w:rsidRPr="00C677D0">
              <w:rPr>
                <w:noProof/>
                <w:webHidden/>
              </w:rPr>
              <w:fldChar w:fldCharType="end"/>
            </w:r>
          </w:hyperlink>
        </w:p>
        <w:p w:rsidR="00C677D0" w:rsidRPr="00C677D0" w:rsidRDefault="00450B6F"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35</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71</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38255C">
              <w:rPr>
                <w:noProof/>
                <w:webHidden/>
              </w:rPr>
              <w:t>71</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38255C">
              <w:rPr>
                <w:noProof/>
                <w:webHidden/>
              </w:rPr>
              <w:t>79</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38255C">
              <w:rPr>
                <w:noProof/>
                <w:webHidden/>
              </w:rPr>
              <w:t>80</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38255C">
              <w:rPr>
                <w:noProof/>
                <w:webHidden/>
              </w:rPr>
              <w:t>82</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38255C">
              <w:rPr>
                <w:noProof/>
                <w:webHidden/>
              </w:rPr>
              <w:t>84</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38255C">
              <w:rPr>
                <w:noProof/>
                <w:webHidden/>
              </w:rPr>
              <w:t>84</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38255C">
              <w:rPr>
                <w:noProof/>
                <w:webHidden/>
              </w:rPr>
              <w:t>97</w:t>
            </w:r>
            <w:r w:rsidRPr="00C677D0">
              <w:rPr>
                <w:noProof/>
                <w:webHidden/>
              </w:rPr>
              <w:fldChar w:fldCharType="end"/>
            </w:r>
          </w:hyperlink>
        </w:p>
        <w:p w:rsidR="00C677D0" w:rsidRPr="00C677D0" w:rsidRDefault="00450B6F"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101</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101</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109</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109</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113</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38255C">
              <w:rPr>
                <w:noProof/>
                <w:webHidden/>
              </w:rPr>
              <w:t>113</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38255C">
              <w:rPr>
                <w:noProof/>
                <w:webHidden/>
              </w:rPr>
              <w:t>114</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38255C">
              <w:rPr>
                <w:noProof/>
                <w:webHidden/>
              </w:rPr>
              <w:t>115</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38255C">
              <w:rPr>
                <w:noProof/>
                <w:webHidden/>
              </w:rPr>
              <w:t>117</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38255C">
              <w:rPr>
                <w:noProof/>
                <w:webHidden/>
              </w:rPr>
              <w:t>119</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38255C">
              <w:rPr>
                <w:noProof/>
                <w:webHidden/>
              </w:rPr>
              <w:t>120</w:t>
            </w:r>
            <w:r w:rsidRPr="00C677D0">
              <w:rPr>
                <w:noProof/>
                <w:webHidden/>
              </w:rPr>
              <w:fldChar w:fldCharType="end"/>
            </w:r>
          </w:hyperlink>
        </w:p>
        <w:p w:rsidR="00C677D0" w:rsidRPr="00C677D0" w:rsidRDefault="00450B6F"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121</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124</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38255C">
              <w:rPr>
                <w:noProof/>
                <w:webHidden/>
              </w:rPr>
              <w:t>124</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38255C">
              <w:rPr>
                <w:noProof/>
                <w:webHidden/>
              </w:rPr>
              <w:t>128</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38255C">
              <w:rPr>
                <w:noProof/>
                <w:webHidden/>
              </w:rPr>
              <w:t>129</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38255C">
              <w:rPr>
                <w:noProof/>
                <w:webHidden/>
              </w:rPr>
              <w:t>130</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38255C">
              <w:rPr>
                <w:noProof/>
                <w:webHidden/>
              </w:rPr>
              <w:t>131</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38255C">
              <w:rPr>
                <w:noProof/>
                <w:webHidden/>
              </w:rPr>
              <w:t>131</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38255C">
              <w:rPr>
                <w:noProof/>
                <w:webHidden/>
              </w:rPr>
              <w:t>133</w:t>
            </w:r>
            <w:r w:rsidRPr="00C677D0">
              <w:rPr>
                <w:noProof/>
                <w:webHidden/>
              </w:rPr>
              <w:fldChar w:fldCharType="end"/>
            </w:r>
          </w:hyperlink>
        </w:p>
        <w:p w:rsidR="00C677D0" w:rsidRPr="00C677D0" w:rsidRDefault="00450B6F"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134</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38255C">
              <w:rPr>
                <w:noProof/>
                <w:webHidden/>
              </w:rPr>
              <w:t>134</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38255C">
              <w:rPr>
                <w:noProof/>
                <w:webHidden/>
              </w:rPr>
              <w:t>135</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38255C">
              <w:rPr>
                <w:noProof/>
                <w:webHidden/>
              </w:rPr>
              <w:t>135</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38255C">
              <w:rPr>
                <w:noProof/>
                <w:webHidden/>
              </w:rPr>
              <w:t>135</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38255C">
              <w:rPr>
                <w:noProof/>
                <w:webHidden/>
              </w:rPr>
              <w:t>136</w:t>
            </w:r>
            <w:r w:rsidRPr="00C677D0">
              <w:rPr>
                <w:noProof/>
                <w:webHidden/>
              </w:rPr>
              <w:fldChar w:fldCharType="end"/>
            </w:r>
          </w:hyperlink>
        </w:p>
        <w:p w:rsidR="00C677D0" w:rsidRPr="00C677D0" w:rsidRDefault="00450B6F"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140</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38255C">
              <w:rPr>
                <w:noProof/>
                <w:webHidden/>
              </w:rPr>
              <w:t>140</w:t>
            </w:r>
            <w:r w:rsidRPr="00C677D0">
              <w:rPr>
                <w:noProof/>
                <w:webHidden/>
              </w:rPr>
              <w:fldChar w:fldCharType="end"/>
            </w:r>
          </w:hyperlink>
        </w:p>
        <w:p w:rsidR="00C677D0" w:rsidRPr="00C677D0" w:rsidRDefault="00450B6F"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38255C">
              <w:rPr>
                <w:noProof/>
                <w:webHidden/>
              </w:rPr>
              <w:t>149</w:t>
            </w:r>
            <w:r w:rsidRPr="00C677D0">
              <w:rPr>
                <w:noProof/>
                <w:webHidden/>
              </w:rPr>
              <w:fldChar w:fldCharType="end"/>
            </w:r>
          </w:hyperlink>
        </w:p>
        <w:p w:rsidR="00C677D0" w:rsidRPr="00C677D0" w:rsidRDefault="00450B6F"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153</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157</w:t>
            </w:r>
            <w:r w:rsidRPr="00C677D0">
              <w:rPr>
                <w:rFonts w:ascii="Times New Roman" w:hAnsi="Times New Roman" w:cs="Times New Roman"/>
                <w:noProof/>
                <w:webHidden/>
                <w:sz w:val="28"/>
                <w:szCs w:val="28"/>
              </w:rPr>
              <w:fldChar w:fldCharType="end"/>
            </w:r>
          </w:hyperlink>
        </w:p>
        <w:p w:rsidR="00C677D0" w:rsidRPr="00C677D0" w:rsidRDefault="00450B6F"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160</w:t>
            </w:r>
            <w:r w:rsidRPr="00C677D0">
              <w:rPr>
                <w:rFonts w:ascii="Times New Roman" w:hAnsi="Times New Roman" w:cs="Times New Roman"/>
                <w:noProof/>
                <w:webHidden/>
                <w:sz w:val="28"/>
                <w:szCs w:val="28"/>
              </w:rPr>
              <w:fldChar w:fldCharType="end"/>
            </w:r>
          </w:hyperlink>
        </w:p>
        <w:p w:rsidR="00C677D0" w:rsidRDefault="00450B6F"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8255C">
              <w:rPr>
                <w:rFonts w:ascii="Times New Roman" w:hAnsi="Times New Roman" w:cs="Times New Roman"/>
                <w:noProof/>
                <w:webHidden/>
                <w:sz w:val="28"/>
                <w:szCs w:val="28"/>
              </w:rPr>
              <w:t>163</w:t>
            </w:r>
            <w:r w:rsidRPr="00C677D0">
              <w:rPr>
                <w:rFonts w:ascii="Times New Roman" w:hAnsi="Times New Roman" w:cs="Times New Roman"/>
                <w:noProof/>
                <w:webHidden/>
                <w:sz w:val="28"/>
                <w:szCs w:val="28"/>
              </w:rPr>
              <w:fldChar w:fldCharType="end"/>
            </w:r>
          </w:hyperlink>
        </w:p>
        <w:p w:rsidR="004B035C" w:rsidRPr="00394F1F" w:rsidRDefault="00450B6F"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A157CA">
        <w:rPr>
          <w:rFonts w:ascii="Times New Roman" w:hAnsi="Times New Roman" w:cs="Times New Roman"/>
          <w:sz w:val="28"/>
          <w:szCs w:val="28"/>
        </w:rPr>
        <w:t>Дугинского</w:t>
      </w:r>
      <w:proofErr w:type="spellEnd"/>
      <w:r w:rsidRPr="00394F1F">
        <w:rPr>
          <w:rFonts w:ascii="Times New Roman" w:hAnsi="Times New Roman" w:cs="Times New Roman"/>
          <w:sz w:val="28"/>
          <w:szCs w:val="28"/>
        </w:rPr>
        <w:t xml:space="preserve"> сельского поселения </w:t>
      </w:r>
      <w:r w:rsidR="009B17A9">
        <w:rPr>
          <w:rFonts w:ascii="Times New Roman" w:hAnsi="Times New Roman" w:cs="Times New Roman"/>
          <w:sz w:val="28"/>
          <w:szCs w:val="28"/>
        </w:rPr>
        <w:t>муниципального образования «</w:t>
      </w:r>
      <w:proofErr w:type="spellStart"/>
      <w:r w:rsidR="001322AC">
        <w:rPr>
          <w:rFonts w:ascii="Times New Roman" w:hAnsi="Times New Roman" w:cs="Times New Roman"/>
          <w:sz w:val="28"/>
          <w:szCs w:val="28"/>
        </w:rPr>
        <w:t>Сычевский</w:t>
      </w:r>
      <w:proofErr w:type="spellEnd"/>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1322AC">
        <w:rPr>
          <w:rFonts w:ascii="Times New Roman" w:hAnsi="Times New Roman" w:cs="Times New Roman"/>
          <w:sz w:val="28"/>
          <w:szCs w:val="28"/>
        </w:rPr>
        <w:t>Сычевского</w:t>
      </w:r>
      <w:proofErr w:type="spellEnd"/>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1322AC">
        <w:rPr>
          <w:rFonts w:ascii="Times New Roman" w:hAnsi="Times New Roman" w:cs="Times New Roman"/>
          <w:sz w:val="28"/>
          <w:szCs w:val="28"/>
        </w:rPr>
        <w:t>Сычевского</w:t>
      </w:r>
      <w:proofErr w:type="spellEnd"/>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P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lastRenderedPageBreak/>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A157CA">
        <w:rPr>
          <w:rFonts w:ascii="Times New Roman" w:hAnsi="Times New Roman" w:cs="Times New Roman"/>
          <w:sz w:val="28"/>
          <w:szCs w:val="28"/>
        </w:rPr>
        <w:t>Дугинского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 xml:space="preserve">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w:t>
      </w:r>
      <w:r w:rsidRPr="00394F1F">
        <w:rPr>
          <w:rFonts w:ascii="Times New Roman" w:hAnsi="Times New Roman" w:cs="Times New Roman"/>
          <w:sz w:val="28"/>
          <w:szCs w:val="28"/>
        </w:rPr>
        <w:lastRenderedPageBreak/>
        <w:t>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lastRenderedPageBreak/>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 xml:space="preserve">Размеры земельных участков для отдельно стоящих </w:t>
            </w:r>
            <w:r w:rsidRPr="00394F1F">
              <w:rPr>
                <w:sz w:val="28"/>
                <w:szCs w:val="28"/>
                <w:lang w:val="ru-RU"/>
              </w:rPr>
              <w:lastRenderedPageBreak/>
              <w:t>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lastRenderedPageBreak/>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w:t>
            </w:r>
            <w:r w:rsidRPr="00394F1F">
              <w:rPr>
                <w:rFonts w:ascii="Times New Roman" w:hAnsi="Times New Roman" w:cs="Times New Roman"/>
                <w:sz w:val="28"/>
                <w:szCs w:val="28"/>
              </w:rPr>
              <w:lastRenderedPageBreak/>
              <w:t>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котельных, </w:t>
            </w:r>
            <w:r w:rsidRPr="00394F1F">
              <w:rPr>
                <w:rFonts w:ascii="Times New Roman" w:hAnsi="Times New Roman" w:cs="Times New Roman"/>
                <w:sz w:val="28"/>
                <w:szCs w:val="28"/>
              </w:rPr>
              <w:lastRenderedPageBreak/>
              <w:t>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r w:rsidR="00450B6F">
        <w:fldChar w:fldCharType="begin"/>
      </w:r>
      <w:r w:rsidR="00450B6F">
        <w:instrText>HYPERLINK</w:instrText>
      </w:r>
      <w:r w:rsidR="00450B6F" w:rsidRPr="003C06D4">
        <w:rPr>
          <w:lang w:val="ru-RU"/>
        </w:rPr>
        <w:instrText xml:space="preserve"> "</w:instrText>
      </w:r>
      <w:r w:rsidR="00450B6F">
        <w:instrText>consultantplus</w:instrText>
      </w:r>
      <w:r w:rsidR="00450B6F" w:rsidRPr="003C06D4">
        <w:rPr>
          <w:lang w:val="ru-RU"/>
        </w:rPr>
        <w:instrText>://</w:instrText>
      </w:r>
      <w:r w:rsidR="00450B6F">
        <w:instrText>offline</w:instrText>
      </w:r>
      <w:r w:rsidR="00450B6F" w:rsidRPr="003C06D4">
        <w:rPr>
          <w:lang w:val="ru-RU"/>
        </w:rPr>
        <w:instrText>/</w:instrText>
      </w:r>
      <w:r w:rsidR="00450B6F">
        <w:instrText>ref</w:instrText>
      </w:r>
      <w:r w:rsidR="00450B6F" w:rsidRPr="003C06D4">
        <w:rPr>
          <w:lang w:val="ru-RU"/>
        </w:rPr>
        <w:instrText>%3</w:instrText>
      </w:r>
      <w:r w:rsidR="00450B6F">
        <w:instrText>D</w:instrText>
      </w:r>
      <w:r w:rsidR="00450B6F" w:rsidRPr="003C06D4">
        <w:rPr>
          <w:lang w:val="ru-RU"/>
        </w:rPr>
        <w:instrText>751</w:instrText>
      </w:r>
      <w:r w:rsidR="00450B6F">
        <w:instrText>F</w:instrText>
      </w:r>
      <w:r w:rsidR="00450B6F" w:rsidRPr="003C06D4">
        <w:rPr>
          <w:lang w:val="ru-RU"/>
        </w:rPr>
        <w:instrText>3</w:instrText>
      </w:r>
      <w:r w:rsidR="00450B6F">
        <w:instrText>AB</w:instrText>
      </w:r>
      <w:r w:rsidR="00450B6F" w:rsidRPr="003C06D4">
        <w:rPr>
          <w:lang w:val="ru-RU"/>
        </w:rPr>
        <w:instrText>6719</w:instrText>
      </w:r>
      <w:r w:rsidR="00450B6F">
        <w:instrText>E</w:instrText>
      </w:r>
      <w:r w:rsidR="00450B6F" w:rsidRPr="003C06D4">
        <w:rPr>
          <w:lang w:val="ru-RU"/>
        </w:rPr>
        <w:instrText>859034</w:instrText>
      </w:r>
      <w:r w:rsidR="00450B6F">
        <w:instrText>A</w:instrText>
      </w:r>
      <w:r w:rsidR="00450B6F" w:rsidRPr="003C06D4">
        <w:rPr>
          <w:lang w:val="ru-RU"/>
        </w:rPr>
        <w:instrText>453</w:instrText>
      </w:r>
      <w:r w:rsidR="00450B6F">
        <w:instrText>BD</w:instrText>
      </w:r>
      <w:r w:rsidR="00450B6F" w:rsidRPr="003C06D4">
        <w:rPr>
          <w:lang w:val="ru-RU"/>
        </w:rPr>
        <w:instrText>22014648</w:instrText>
      </w:r>
      <w:r w:rsidR="00450B6F">
        <w:instrText>B</w:instrText>
      </w:r>
      <w:r w:rsidR="00450B6F" w:rsidRPr="003C06D4">
        <w:rPr>
          <w:lang w:val="ru-RU"/>
        </w:rPr>
        <w:instrText>3332</w:instrText>
      </w:r>
      <w:r w:rsidR="00450B6F">
        <w:instrText>EF</w:instrText>
      </w:r>
      <w:r w:rsidR="00450B6F" w:rsidRPr="003C06D4">
        <w:rPr>
          <w:lang w:val="ru-RU"/>
        </w:rPr>
        <w:instrText>26460</w:instrText>
      </w:r>
      <w:r w:rsidR="00450B6F">
        <w:instrText>AB</w:instrText>
      </w:r>
      <w:r w:rsidR="00450B6F" w:rsidRPr="003C06D4">
        <w:rPr>
          <w:lang w:val="ru-RU"/>
        </w:rPr>
        <w:instrText>6</w:instrText>
      </w:r>
      <w:r w:rsidR="00450B6F">
        <w:instrText>FDC</w:instrText>
      </w:r>
      <w:r w:rsidR="00450B6F" w:rsidRPr="003C06D4">
        <w:rPr>
          <w:lang w:val="ru-RU"/>
        </w:rPr>
        <w:instrText>6150</w:instrText>
      </w:r>
      <w:r w:rsidR="00450B6F">
        <w:instrText>C</w:instrText>
      </w:r>
      <w:r w:rsidR="00450B6F" w:rsidRPr="003C06D4">
        <w:rPr>
          <w:lang w:val="ru-RU"/>
        </w:rPr>
        <w:instrText>0</w:instrText>
      </w:r>
      <w:r w:rsidR="00450B6F">
        <w:instrText>g</w:instrText>
      </w:r>
      <w:r w:rsidR="00450B6F" w:rsidRPr="003C06D4">
        <w:rPr>
          <w:lang w:val="ru-RU"/>
        </w:rPr>
        <w:instrText>1</w:instrText>
      </w:r>
      <w:r w:rsidR="00450B6F">
        <w:instrText>mEH</w:instrText>
      </w:r>
      <w:r w:rsidR="00450B6F" w:rsidRPr="003C06D4">
        <w:rPr>
          <w:lang w:val="ru-RU"/>
        </w:rPr>
        <w:instrText>" \</w:instrText>
      </w:r>
      <w:r w:rsidR="00450B6F">
        <w:instrText>h</w:instrText>
      </w:r>
      <w:r w:rsidR="00450B6F">
        <w:fldChar w:fldCharType="separate"/>
      </w:r>
      <w:r w:rsidRPr="00394F1F">
        <w:rPr>
          <w:sz w:val="28"/>
          <w:szCs w:val="28"/>
          <w:lang w:val="ru-RU"/>
        </w:rPr>
        <w:t>СП 50.13330.2012</w:t>
      </w:r>
      <w:r w:rsidR="00450B6F">
        <w:fldChar w:fldCharType="end"/>
      </w:r>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lastRenderedPageBreak/>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 xml:space="preserve">Застройка зданиями, оборудованными внутренним водопроводом и </w:t>
            </w:r>
            <w:r w:rsidRPr="003C0341">
              <w:rPr>
                <w:rStyle w:val="105pt"/>
                <w:rFonts w:eastAsiaTheme="minorHAnsi"/>
                <w:sz w:val="28"/>
                <w:szCs w:val="28"/>
              </w:rPr>
              <w:lastRenderedPageBreak/>
              <w:t>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lastRenderedPageBreak/>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062BA2">
              <w:rPr>
                <w:rStyle w:val="grame"/>
                <w:rFonts w:ascii="Times New Roman" w:hAnsi="Times New Roman" w:cs="Times New Roman"/>
                <w:sz w:val="28"/>
                <w:szCs w:val="28"/>
              </w:rPr>
              <w:t>м</w:t>
            </w:r>
            <w:proofErr w:type="gramEnd"/>
            <w:r w:rsidRPr="00062BA2">
              <w:rPr>
                <w:rStyle w:val="grame"/>
                <w:rFonts w:ascii="Times New Roman" w:hAnsi="Times New Roman" w:cs="Times New Roman"/>
                <w:sz w:val="28"/>
                <w:szCs w:val="28"/>
              </w:rPr>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w:t>
            </w:r>
            <w:r w:rsidRPr="00062BA2">
              <w:rPr>
                <w:rFonts w:ascii="Times New Roman" w:hAnsi="Times New Roman" w:cs="Times New Roman"/>
                <w:sz w:val="28"/>
                <w:szCs w:val="28"/>
              </w:rPr>
              <w:lastRenderedPageBreak/>
              <w:t xml:space="preserve">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Скорость передачи данных на пользовательское оборудование с </w:t>
            </w:r>
            <w:r w:rsidRPr="006272F0">
              <w:rPr>
                <w:rFonts w:ascii="Times New Roman" w:hAnsi="Times New Roman" w:cs="Times New Roman"/>
                <w:sz w:val="28"/>
                <w:szCs w:val="28"/>
              </w:rPr>
              <w:lastRenderedPageBreak/>
              <w:t>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lastRenderedPageBreak/>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Основные улицы сельского 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p w:rsidR="00225744" w:rsidRDefault="00225744"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lastRenderedPageBreak/>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1,0 (допускается устраивать с одной 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xml:space="preserve">- на рекреационных </w:t>
            </w:r>
            <w:r w:rsidRPr="00610F50">
              <w:rPr>
                <w:rFonts w:eastAsiaTheme="minorHAnsi"/>
                <w:sz w:val="28"/>
                <w:szCs w:val="28"/>
                <w:lang w:eastAsia="en-US"/>
              </w:rPr>
              <w:lastRenderedPageBreak/>
              <w:t>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lastRenderedPageBreak/>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на рекреационных территориях в жилых зонах и </w:t>
            </w:r>
            <w:r w:rsidRPr="00610F50">
              <w:rPr>
                <w:rFonts w:ascii="Times New Roman" w:hAnsi="Times New Roman" w:cs="Times New Roman"/>
                <w:sz w:val="28"/>
                <w:szCs w:val="28"/>
              </w:rPr>
              <w:lastRenderedPageBreak/>
              <w:t>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lastRenderedPageBreak/>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lastRenderedPageBreak/>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lastRenderedPageBreak/>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lastRenderedPageBreak/>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lastRenderedPageBreak/>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lastRenderedPageBreak/>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p w:rsidR="007D5E64" w:rsidRPr="001A1018" w:rsidRDefault="007D5E64" w:rsidP="001B22B1">
      <w:pPr>
        <w:spacing w:line="240" w:lineRule="auto"/>
        <w:ind w:firstLine="709"/>
        <w:rPr>
          <w:rFonts w:ascii="Times New Roman" w:hAnsi="Times New Roman" w:cs="Times New Roman"/>
          <w:b/>
          <w:bCs/>
          <w:sz w:val="24"/>
          <w:szCs w:val="24"/>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A63056" w:rsidRPr="007D5E64" w:rsidRDefault="00A63056" w:rsidP="001B22B1">
      <w:pPr>
        <w:spacing w:line="240" w:lineRule="auto"/>
        <w:ind w:firstLine="709"/>
        <w:rPr>
          <w:rFonts w:ascii="Times New Roman" w:hAnsi="Times New Roman" w:cs="Times New Roman"/>
          <w:sz w:val="28"/>
          <w:szCs w:val="28"/>
        </w:rPr>
      </w:pP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lastRenderedPageBreak/>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Общая обеспеченность закрытыми и открытыми автостоянками для постоянного хранения автомобилей должна составлять </w:t>
      </w:r>
      <w:r w:rsidRPr="001C0B05">
        <w:rPr>
          <w:sz w:val="28"/>
          <w:szCs w:val="28"/>
          <w:lang w:val="ru-RU"/>
        </w:rPr>
        <w:lastRenderedPageBreak/>
        <w:t>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lastRenderedPageBreak/>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lastRenderedPageBreak/>
              <w:t xml:space="preserve">Объекты, </w:t>
            </w:r>
          </w:p>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до </w:t>
            </w:r>
            <w:proofErr w:type="gramStart"/>
            <w:r w:rsidRPr="00452ABE">
              <w:rPr>
                <w:rFonts w:ascii="Times New Roman" w:hAnsi="Times New Roman" w:cs="Times New Roman"/>
                <w:sz w:val="28"/>
                <w:szCs w:val="28"/>
              </w:rPr>
              <w:t>которых</w:t>
            </w:r>
            <w:proofErr w:type="gramEnd"/>
            <w:r w:rsidRPr="00452ABE">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proofErr w:type="gramStart"/>
            <w:r w:rsidRPr="00452ABE">
              <w:rPr>
                <w:rStyle w:val="grame"/>
                <w:rFonts w:ascii="Times New Roman" w:hAnsi="Times New Roman" w:cs="Times New Roman"/>
                <w:sz w:val="28"/>
                <w:szCs w:val="28"/>
              </w:rPr>
              <w:t>м</w:t>
            </w:r>
            <w:proofErr w:type="gramEnd"/>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proofErr w:type="spellStart"/>
            <w:r w:rsidRPr="00452ABE">
              <w:rPr>
                <w:rStyle w:val="spelle"/>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 xml:space="preserve">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00452ABE" w:rsidRPr="00452ABE">
        <w:rPr>
          <w:rFonts w:ascii="Times New Roman" w:eastAsia="Times New Roman" w:hAnsi="Times New Roman" w:cs="Times New Roman"/>
          <w:sz w:val="28"/>
          <w:szCs w:val="28"/>
        </w:rPr>
        <w:lastRenderedPageBreak/>
        <w:t>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w:t>
      </w:r>
      <w:r w:rsidRPr="00641622">
        <w:rPr>
          <w:sz w:val="28"/>
          <w:szCs w:val="28"/>
          <w:lang w:eastAsia="en-US"/>
        </w:rPr>
        <w:lastRenderedPageBreak/>
        <w:t xml:space="preserve">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w:t>
      </w:r>
      <w:r w:rsidRPr="00452ABE">
        <w:rPr>
          <w:sz w:val="28"/>
          <w:szCs w:val="28"/>
          <w:lang w:eastAsia="en-US"/>
        </w:rPr>
        <w:lastRenderedPageBreak/>
        <w:t xml:space="preserve">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Проектирование автостоянок всех типов под эстакадами должно соответствовать требованиям санитарного, пожарного, </w:t>
      </w:r>
      <w:r w:rsidRPr="00452ABE">
        <w:rPr>
          <w:sz w:val="28"/>
          <w:szCs w:val="28"/>
          <w:lang w:eastAsia="en-US"/>
        </w:rPr>
        <w:lastRenderedPageBreak/>
        <w:t>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Количество мест для временного хранения автотранспорта, </w:t>
            </w:r>
            <w:proofErr w:type="spellStart"/>
            <w:r w:rsidRPr="00641622">
              <w:rPr>
                <w:rFonts w:ascii="Times New Roman" w:hAnsi="Times New Roman" w:cs="Times New Roman"/>
                <w:spacing w:val="-2"/>
                <w:sz w:val="28"/>
                <w:szCs w:val="28"/>
              </w:rPr>
              <w:t>машино-мест</w:t>
            </w:r>
            <w:proofErr w:type="spellEnd"/>
            <w:r w:rsidRPr="00641622">
              <w:rPr>
                <w:rFonts w:ascii="Times New Roman" w:hAnsi="Times New Roman" w:cs="Times New Roman"/>
                <w:spacing w:val="-2"/>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lastRenderedPageBreak/>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3379AB">
            <w:pPr>
              <w:suppressAutoHyphens/>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722955">
            <w:pPr>
              <w:spacing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1A1018">
        <w:rPr>
          <w:rFonts w:ascii="Times New Roman" w:hAnsi="Times New Roman" w:cs="Times New Roman"/>
        </w:rPr>
        <w:t xml:space="preserve">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lastRenderedPageBreak/>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lastRenderedPageBreak/>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p w:rsidR="001C3C6B" w:rsidRPr="002E5ED5" w:rsidRDefault="001C3C6B" w:rsidP="00E7735D">
      <w:pPr>
        <w:spacing w:line="239" w:lineRule="auto"/>
        <w:ind w:firstLine="720"/>
        <w:jc w:val="both"/>
        <w:rPr>
          <w:rFonts w:ascii="Times New Roman" w:hAnsi="Times New Roman" w:cs="Times New Roman"/>
          <w:b/>
          <w:bCs/>
          <w:spacing w:val="-2"/>
          <w:sz w:val="28"/>
          <w:szCs w:val="28"/>
        </w:rPr>
      </w:pP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lastRenderedPageBreak/>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lastRenderedPageBreak/>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lastRenderedPageBreak/>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Pr="004550AE" w:rsidRDefault="00427690" w:rsidP="00CE4658">
      <w:pPr>
        <w:spacing w:line="239" w:lineRule="auto"/>
        <w:ind w:firstLine="720"/>
        <w:jc w:val="both"/>
        <w:rPr>
          <w:rFonts w:ascii="Times New Roman" w:eastAsia="Courier New" w:hAnsi="Times New Roman" w:cs="Times New Roman"/>
          <w:b/>
          <w:i/>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w:t>
      </w:r>
      <w:r w:rsidRPr="00722955">
        <w:rPr>
          <w:sz w:val="28"/>
          <w:szCs w:val="28"/>
        </w:rPr>
        <w:lastRenderedPageBreak/>
        <w:t xml:space="preserve">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0A1CED" w:rsidRPr="00DF69E4" w:rsidTr="000F5D7D">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proofErr w:type="gramStart"/>
            <w:r w:rsidRPr="00DF69E4">
              <w:rPr>
                <w:rFonts w:ascii="Times New Roman" w:hAnsi="Times New Roman" w:cs="Times New Roman"/>
                <w:sz w:val="28"/>
                <w:szCs w:val="28"/>
              </w:rPr>
              <w:t>га</w:t>
            </w:r>
            <w:proofErr w:type="gramEnd"/>
          </w:p>
        </w:tc>
      </w:tr>
      <w:tr w:rsidR="000A1CED" w:rsidRPr="00DF69E4" w:rsidTr="000F5D7D">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0F5D7D">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0F5D7D">
        <w:trPr>
          <w:trHeight w:val="763"/>
          <w:jc w:val="center"/>
        </w:trPr>
        <w:tc>
          <w:tcPr>
            <w:tcW w:w="5500" w:type="dxa"/>
            <w:tcBorders>
              <w:top w:val="single" w:sz="4" w:space="0" w:color="000000"/>
              <w:left w:val="single" w:sz="4" w:space="0" w:color="000000"/>
              <w:bottom w:val="single" w:sz="4" w:space="0" w:color="000000"/>
            </w:tcBorders>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r w:rsidR="000A1CED" w:rsidRPr="00DF69E4"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bl>
    <w:p w:rsidR="000A1CED" w:rsidRDefault="000A1CED" w:rsidP="000A1CED">
      <w:pPr>
        <w:pStyle w:val="a1"/>
        <w:numPr>
          <w:ilvl w:val="0"/>
          <w:numId w:val="0"/>
        </w:numPr>
        <w:ind w:firstLine="709"/>
        <w:rPr>
          <w:sz w:val="28"/>
          <w:szCs w:val="28"/>
        </w:rPr>
      </w:pPr>
    </w:p>
    <w:p w:rsidR="000A1CED" w:rsidRDefault="000A1CED" w:rsidP="000A1CED">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lastRenderedPageBreak/>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proofErr w:type="gramStart"/>
            <w:r w:rsidRPr="00934A91">
              <w:rPr>
                <w:rFonts w:ascii="Times New Roman" w:hAnsi="Times New Roman" w:cs="Times New Roman"/>
                <w:b/>
                <w:position w:val="-4"/>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proofErr w:type="gramStart"/>
            <w:r w:rsidRPr="00934A91">
              <w:rPr>
                <w:rFonts w:ascii="Times New Roman" w:hAnsi="Times New Roman" w:cs="Times New Roman"/>
                <w:b/>
                <w:position w:val="-4"/>
                <w:sz w:val="28"/>
                <w:szCs w:val="28"/>
                <w:vertAlign w:val="superscript"/>
              </w:rPr>
              <w:t>2</w:t>
            </w:r>
            <w:proofErr w:type="gramEnd"/>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0A1CED" w:rsidRPr="00934A91" w:rsidRDefault="000A1CED" w:rsidP="000F5D7D">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w:t>
            </w:r>
            <w:proofErr w:type="gramStart"/>
            <w:r w:rsidRPr="00934A91">
              <w:rPr>
                <w:rFonts w:ascii="Times New Roman" w:hAnsi="Times New Roman" w:cs="Times New Roman"/>
                <w:b/>
                <w:spacing w:val="-2"/>
                <w:sz w:val="28"/>
                <w:szCs w:val="28"/>
              </w:rPr>
              <w:t>га</w:t>
            </w:r>
            <w:proofErr w:type="gramEnd"/>
            <w:r w:rsidRPr="00934A91">
              <w:rPr>
                <w:rFonts w:ascii="Times New Roman" w:hAnsi="Times New Roman" w:cs="Times New Roman"/>
                <w:b/>
                <w:spacing w:val="-2"/>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t>Секционный</w:t>
            </w:r>
            <w:proofErr w:type="gramEnd"/>
            <w:r w:rsidRPr="00934A91">
              <w:rPr>
                <w:rFonts w:ascii="Times New Roman" w:hAnsi="Times New Roman" w:cs="Times New Roman"/>
                <w:sz w:val="28"/>
                <w:szCs w:val="28"/>
              </w:rPr>
              <w:t xml:space="preserve"> с числом </w:t>
            </w:r>
            <w:r w:rsidRPr="00934A91">
              <w:rPr>
                <w:rFonts w:ascii="Times New Roman" w:hAnsi="Times New Roman" w:cs="Times New Roman"/>
                <w:sz w:val="28"/>
                <w:szCs w:val="28"/>
              </w:rPr>
              <w:lastRenderedPageBreak/>
              <w:t>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723B23">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0F5D7D">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723B23">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0F5D7D">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lastRenderedPageBreak/>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Pr="003A0A72"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w:t>
            </w:r>
            <w:r w:rsidRPr="00934A91">
              <w:rPr>
                <w:rFonts w:ascii="Times New Roman" w:hAnsi="Times New Roman" w:cs="Times New Roman"/>
                <w:sz w:val="28"/>
                <w:szCs w:val="28"/>
              </w:rPr>
              <w:lastRenderedPageBreak/>
              <w:t>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lastRenderedPageBreak/>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8E37DA" w:rsidP="000F5D7D">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000A1CED"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63056" w:rsidRPr="00934A91" w:rsidRDefault="00A63056" w:rsidP="000A1CED">
      <w:pPr>
        <w:ind w:firstLine="709"/>
        <w:jc w:val="both"/>
        <w:rPr>
          <w:rFonts w:ascii="Times New Roman" w:hAnsi="Times New Roman" w:cs="Times New Roman"/>
          <w:sz w:val="28"/>
          <w:szCs w:val="28"/>
        </w:rPr>
      </w:pP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5" w:name="_Toc502048391"/>
      <w:bookmarkStart w:id="36" w:name="_Toc525541489"/>
      <w:r w:rsidRPr="00AE1E77">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5"/>
      <w:bookmarkEnd w:id="36"/>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lastRenderedPageBreak/>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CF28C1" w:rsidRDefault="00CF28C1"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7"/>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Pr="00F5596A" w:rsidRDefault="003475DA"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8"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8"/>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Default="008739C2" w:rsidP="004D163A">
      <w:pPr>
        <w:spacing w:after="0" w:line="240" w:lineRule="auto"/>
        <w:rPr>
          <w:rFonts w:ascii="Times New Roman" w:hAnsi="Times New Roman" w:cs="Times New Roman"/>
          <w:sz w:val="28"/>
          <w:szCs w:val="28"/>
        </w:rPr>
      </w:pPr>
    </w:p>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2"/>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39"/>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8739C2" w:rsidRDefault="008739C2"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02048396"/>
      <w:bookmarkStart w:id="41"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0"/>
      <w:bookmarkEnd w:id="41"/>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 xml:space="preserve">0,5 (для условий реконструкции - </w:t>
            </w:r>
            <w:r w:rsidRPr="007354CE">
              <w:rPr>
                <w:rFonts w:ascii="Times New Roman" w:hAnsi="Times New Roman" w:cs="Times New Roman"/>
                <w:sz w:val="28"/>
                <w:szCs w:val="28"/>
              </w:rPr>
              <w:lastRenderedPageBreak/>
              <w:t>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A157CA">
        <w:rPr>
          <w:sz w:val="28"/>
          <w:szCs w:val="28"/>
          <w:lang w:val="ru-RU"/>
        </w:rPr>
        <w:t>Дугинского</w:t>
      </w:r>
      <w:proofErr w:type="spellEnd"/>
      <w:r w:rsidRPr="00394F1F">
        <w:rPr>
          <w:sz w:val="28"/>
          <w:szCs w:val="28"/>
          <w:lang w:val="ru-RU"/>
        </w:rPr>
        <w:t xml:space="preserve"> сельского </w:t>
      </w:r>
      <w:r w:rsidRPr="00394F1F">
        <w:rPr>
          <w:sz w:val="28"/>
          <w:szCs w:val="28"/>
          <w:lang w:val="ru-RU"/>
        </w:rPr>
        <w:lastRenderedPageBreak/>
        <w:t xml:space="preserve">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proofErr w:type="spellStart"/>
            <w:proofErr w:type="gramStart"/>
            <w:r w:rsidRPr="00240489">
              <w:rPr>
                <w:rFonts w:ascii="Times New Roman" w:hAnsi="Times New Roman" w:cs="Times New Roman"/>
                <w:bCs/>
                <w:sz w:val="28"/>
                <w:szCs w:val="28"/>
              </w:rPr>
              <w:t>п</w:t>
            </w:r>
            <w:proofErr w:type="spellEnd"/>
            <w:proofErr w:type="gram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w:t>
            </w:r>
            <w:proofErr w:type="gramStart"/>
            <w:r w:rsidRPr="00240489">
              <w:rPr>
                <w:rFonts w:ascii="Times New Roman" w:hAnsi="Times New Roman" w:cs="Times New Roman"/>
                <w:bCs/>
                <w:sz w:val="28"/>
                <w:szCs w:val="28"/>
              </w:rPr>
              <w:t>.м</w:t>
            </w:r>
            <w:proofErr w:type="gramEnd"/>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lastRenderedPageBreak/>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Очаги самостоятельного </w:t>
            </w:r>
            <w:r w:rsidRPr="00240489">
              <w:rPr>
                <w:rFonts w:ascii="Times New Roman" w:hAnsi="Times New Roman" w:cs="Times New Roman"/>
                <w:bCs/>
                <w:sz w:val="28"/>
                <w:szCs w:val="28"/>
              </w:rPr>
              <w:lastRenderedPageBreak/>
              <w:t>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Pr="00975860"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25541494"/>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2"/>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3" w:name="_Toc491876292"/>
      <w:bookmarkStart w:id="44" w:name="_Toc502048397"/>
      <w:bookmarkStart w:id="45"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3"/>
      <w:bookmarkEnd w:id="44"/>
      <w:bookmarkEnd w:id="45"/>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6"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7" w:name="_Toc502048394"/>
      <w:bookmarkStart w:id="48" w:name="_Toc525541496"/>
      <w:r w:rsidRPr="00ED1766">
        <w:rPr>
          <w:rFonts w:ascii="Times New Roman" w:eastAsia="Times New Roman" w:hAnsi="Times New Roman" w:cs="Times New Roman"/>
          <w:b/>
          <w:bCs/>
          <w:sz w:val="28"/>
          <w:szCs w:val="28"/>
          <w:lang w:eastAsia="ru-RU"/>
        </w:rPr>
        <w:t xml:space="preserve">Объекты, </w:t>
      </w:r>
      <w:bookmarkEnd w:id="47"/>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8"/>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A75B03">
        <w:trPr>
          <w:tblHeader/>
        </w:trPr>
        <w:tc>
          <w:tcPr>
            <w:tcW w:w="708"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ED1766" w:rsidRPr="00394F1F" w:rsidRDefault="00ED176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D1766" w:rsidRPr="00394F1F" w:rsidRDefault="00ED176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25541497"/>
      <w:bookmarkStart w:id="50"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49"/>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A75B03">
        <w:trPr>
          <w:tblHeader/>
        </w:trPr>
        <w:tc>
          <w:tcPr>
            <w:tcW w:w="708" w:type="dxa"/>
          </w:tcPr>
          <w:bookmarkEnd w:id="50"/>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1"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1"/>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55087" w:rsidRDefault="00C55087" w:rsidP="00C424A6">
      <w:pPr>
        <w:pStyle w:val="afd"/>
        <w:spacing w:after="0"/>
        <w:rPr>
          <w:b/>
          <w:sz w:val="28"/>
          <w:szCs w:val="28"/>
        </w:rPr>
      </w:pPr>
    </w:p>
    <w:p w:rsidR="00C55087" w:rsidRPr="00394F1F" w:rsidRDefault="00C55087"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lastRenderedPageBreak/>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2" w:name="_Toc525541499"/>
      <w:r w:rsidRPr="00335A51">
        <w:rPr>
          <w:rFonts w:ascii="Times New Roman" w:eastAsia="Times New Roman" w:hAnsi="Times New Roman" w:cs="Times New Roman"/>
          <w:b/>
          <w:bCs/>
          <w:sz w:val="28"/>
          <w:szCs w:val="28"/>
          <w:lang w:eastAsia="ru-RU"/>
        </w:rPr>
        <w:t>Объекты, относящиеся к области фармацевтики</w:t>
      </w:r>
      <w:bookmarkEnd w:id="52"/>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3"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3"/>
    </w:p>
    <w:bookmarkEnd w:id="46"/>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w:t>
            </w:r>
            <w:r w:rsidRPr="0055494D">
              <w:rPr>
                <w:rFonts w:ascii="Times New Roman" w:hAnsi="Times New Roman" w:cs="Times New Roman"/>
                <w:spacing w:val="2"/>
                <w:sz w:val="28"/>
                <w:szCs w:val="28"/>
                <w:shd w:val="clear" w:color="auto" w:fill="FFFFFF"/>
              </w:rPr>
              <w:lastRenderedPageBreak/>
              <w:t>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оборудования для </w:t>
            </w:r>
            <w:r w:rsidRPr="0055494D">
              <w:rPr>
                <w:rFonts w:ascii="Times New Roman" w:hAnsi="Times New Roman" w:cs="Times New Roman"/>
                <w:spacing w:val="2"/>
                <w:sz w:val="28"/>
                <w:szCs w:val="28"/>
                <w:shd w:val="clear" w:color="auto" w:fill="FFFFFF"/>
              </w:rPr>
              <w:lastRenderedPageBreak/>
              <w:t>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450B6F" w:rsidRPr="00450B6F">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450B6F" w:rsidRPr="00450B6F">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4" w:name="_Toc502048408"/>
      <w:bookmarkStart w:id="55"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4"/>
      <w:bookmarkEnd w:id="55"/>
    </w:p>
    <w:p w:rsidR="00E75B3C" w:rsidRPr="00E75B3C" w:rsidRDefault="00E75B3C" w:rsidP="00E75B3C">
      <w:pPr>
        <w:spacing w:after="0" w:line="240" w:lineRule="auto"/>
        <w:outlineLvl w:val="1"/>
        <w:rPr>
          <w:rFonts w:ascii="Times New Roman" w:hAnsi="Times New Roman" w:cs="Times New Roman"/>
          <w:b/>
          <w:vanish/>
          <w:sz w:val="28"/>
          <w:szCs w:val="28"/>
        </w:rPr>
      </w:pPr>
      <w:bookmarkStart w:id="56"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7" w:name="_Toc525541502"/>
      <w:r w:rsidRPr="00E75B3C">
        <w:rPr>
          <w:rFonts w:ascii="Times New Roman" w:eastAsia="Times New Roman" w:hAnsi="Times New Roman" w:cs="Times New Roman"/>
          <w:b/>
          <w:bCs/>
          <w:sz w:val="28"/>
          <w:szCs w:val="28"/>
          <w:lang w:eastAsia="ru-RU"/>
        </w:rPr>
        <w:t>Нормативно-правовая база</w:t>
      </w:r>
      <w:bookmarkEnd w:id="56"/>
      <w:bookmarkEnd w:id="5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722C61" w:rsidRPr="00394F1F" w:rsidRDefault="00722C61"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proofErr w:type="spellStart"/>
      <w:r w:rsidR="001322AC">
        <w:rPr>
          <w:rFonts w:ascii="Times New Roman" w:hAnsi="Times New Roman" w:cs="Times New Roman"/>
          <w:b/>
          <w:sz w:val="28"/>
          <w:szCs w:val="28"/>
        </w:rPr>
        <w:t>Сычевский</w:t>
      </w:r>
      <w:proofErr w:type="spellEnd"/>
      <w:r w:rsidR="00B1792E">
        <w:rPr>
          <w:rFonts w:ascii="Times New Roman" w:hAnsi="Times New Roman" w:cs="Times New Roman"/>
          <w:b/>
          <w:sz w:val="28"/>
          <w:szCs w:val="28"/>
        </w:rPr>
        <w:t xml:space="preserve">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450B6F" w:rsidP="00B91405">
      <w:pPr>
        <w:pStyle w:val="afd"/>
        <w:numPr>
          <w:ilvl w:val="0"/>
          <w:numId w:val="12"/>
        </w:numPr>
        <w:tabs>
          <w:tab w:val="left" w:pos="1134"/>
        </w:tabs>
        <w:spacing w:after="0"/>
        <w:ind w:left="0" w:right="107" w:firstLine="709"/>
        <w:jc w:val="both"/>
        <w:rPr>
          <w:sz w:val="28"/>
          <w:szCs w:val="28"/>
        </w:rPr>
      </w:pPr>
      <w:hyperlink r:id="rId18"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1D3245" w:rsidRPr="00394F1F" w:rsidRDefault="001D3245" w:rsidP="00B9140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от 20 декабря </w:t>
      </w:r>
      <w:smartTag w:uri="urn:schemas-microsoft-com:office:smarttags" w:element="metricconverter">
        <w:smartTagPr>
          <w:attr w:name="ProductID" w:val="2004 г"/>
        </w:smartTagPr>
        <w:r w:rsidRPr="001D3245">
          <w:rPr>
            <w:sz w:val="28"/>
            <w:szCs w:val="28"/>
          </w:rPr>
          <w:t>2004 г</w:t>
        </w:r>
      </w:smartTag>
      <w:r w:rsidRPr="001D3245">
        <w:rPr>
          <w:sz w:val="28"/>
          <w:szCs w:val="28"/>
        </w:rPr>
        <w:t>. № 106-з (ред. от 29.04.2006) «О наделении статусом муниципального района муниципального образования "</w:t>
      </w:r>
      <w:proofErr w:type="spellStart"/>
      <w:r w:rsidRPr="001D3245">
        <w:rPr>
          <w:sz w:val="28"/>
          <w:szCs w:val="28"/>
        </w:rPr>
        <w:t>Сычевский</w:t>
      </w:r>
      <w:proofErr w:type="spellEnd"/>
      <w:r w:rsidRPr="001D3245">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1D3245" w:rsidP="00B91405">
      <w:pPr>
        <w:pStyle w:val="afd"/>
        <w:numPr>
          <w:ilvl w:val="0"/>
          <w:numId w:val="12"/>
        </w:numPr>
        <w:tabs>
          <w:tab w:val="left" w:pos="1134"/>
        </w:tabs>
        <w:spacing w:after="0"/>
        <w:ind w:left="0" w:right="107" w:firstLine="709"/>
        <w:jc w:val="both"/>
        <w:rPr>
          <w:sz w:val="28"/>
          <w:szCs w:val="28"/>
        </w:rPr>
      </w:pPr>
      <w:proofErr w:type="gramStart"/>
      <w:r w:rsidRPr="001D3245">
        <w:rPr>
          <w:sz w:val="28"/>
          <w:szCs w:val="28"/>
        </w:rPr>
        <w:t>Областн</w:t>
      </w:r>
      <w:r>
        <w:rPr>
          <w:sz w:val="28"/>
          <w:szCs w:val="28"/>
        </w:rPr>
        <w:t>ой закон</w:t>
      </w:r>
      <w:r w:rsidRPr="001D3245">
        <w:rPr>
          <w:sz w:val="28"/>
          <w:szCs w:val="28"/>
        </w:rPr>
        <w:t xml:space="preserve"> Смоленской области № 69-з от 28 мая 2015 года «О преобразовании муниципальных образований </w:t>
      </w:r>
      <w:proofErr w:type="spellStart"/>
      <w:r w:rsidRPr="001D3245">
        <w:rPr>
          <w:sz w:val="28"/>
          <w:szCs w:val="28"/>
        </w:rPr>
        <w:t>Сычевского</w:t>
      </w:r>
      <w:proofErr w:type="spellEnd"/>
      <w:r w:rsidRPr="001D3245">
        <w:rPr>
          <w:sz w:val="28"/>
          <w:szCs w:val="28"/>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1D3245">
        <w:rPr>
          <w:sz w:val="28"/>
          <w:szCs w:val="28"/>
        </w:rPr>
        <w:t>Сычевского</w:t>
      </w:r>
      <w:proofErr w:type="spellEnd"/>
      <w:r w:rsidRPr="001D3245">
        <w:rPr>
          <w:sz w:val="28"/>
          <w:szCs w:val="28"/>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1D3245">
        <w:rPr>
          <w:sz w:val="28"/>
          <w:szCs w:val="28"/>
        </w:rPr>
        <w:t>Сычевского</w:t>
      </w:r>
      <w:proofErr w:type="spellEnd"/>
      <w:r w:rsidRPr="001D3245">
        <w:rPr>
          <w:sz w:val="28"/>
          <w:szCs w:val="28"/>
        </w:rPr>
        <w:t xml:space="preserve"> района Смоленской области»</w:t>
      </w:r>
      <w:r w:rsidR="00E87A29" w:rsidRPr="00E87A29">
        <w:rPr>
          <w:sz w:val="28"/>
          <w:szCs w:val="28"/>
        </w:rPr>
        <w:t>.</w:t>
      </w:r>
      <w:proofErr w:type="gramEnd"/>
    </w:p>
    <w:p w:rsidR="00E3755B" w:rsidRPr="00394F1F" w:rsidRDefault="00450B6F" w:rsidP="00B1792E">
      <w:pPr>
        <w:pStyle w:val="afd"/>
        <w:numPr>
          <w:ilvl w:val="0"/>
          <w:numId w:val="12"/>
        </w:numPr>
        <w:tabs>
          <w:tab w:val="left" w:pos="1134"/>
        </w:tabs>
        <w:spacing w:after="0"/>
        <w:ind w:left="0" w:right="107" w:firstLine="709"/>
        <w:jc w:val="both"/>
        <w:rPr>
          <w:sz w:val="28"/>
          <w:szCs w:val="28"/>
        </w:rPr>
      </w:pPr>
      <w:hyperlink r:id="rId19"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450B6F">
        <w:fldChar w:fldCharType="begin"/>
      </w:r>
      <w:r w:rsidR="00614613">
        <w:instrText>HYPERLINK "consultantplus://offline/ref%3DB55CB70B8807CE15F8F84F8321428183E70A952355926F9978D079F8jDB" \h</w:instrText>
      </w:r>
      <w:r w:rsidR="00450B6F">
        <w:fldChar w:fldCharType="separate"/>
      </w:r>
      <w:r w:rsidRPr="00394F1F">
        <w:rPr>
          <w:sz w:val="28"/>
          <w:szCs w:val="28"/>
        </w:rPr>
        <w:t>СНиП</w:t>
      </w:r>
      <w:proofErr w:type="spellEnd"/>
      <w:r w:rsidRPr="00394F1F">
        <w:rPr>
          <w:sz w:val="28"/>
          <w:szCs w:val="28"/>
        </w:rPr>
        <w:t xml:space="preserve"> 2.04.02-84*</w:t>
      </w:r>
      <w:r w:rsidR="00450B6F">
        <w:fldChar w:fldCharType="end"/>
      </w:r>
      <w:r w:rsidRPr="00394F1F">
        <w:rPr>
          <w:sz w:val="28"/>
          <w:szCs w:val="28"/>
        </w:rPr>
        <w:t xml:space="preserve"> «Водоснабжение. Наружные сети и сооружения»; СП 32.13330.2012 «</w:t>
      </w:r>
      <w:proofErr w:type="spellStart"/>
      <w:r w:rsidR="00450B6F">
        <w:fldChar w:fldCharType="begin"/>
      </w:r>
      <w:r w:rsidR="00614613">
        <w:instrText>HYPERLINK "consultantplus://offline/ref%3D422BF3913A03A3FF4DDD1D7F5E11E341BF360C6AB4A0655EFBCD16kEB" \h</w:instrText>
      </w:r>
      <w:r w:rsidR="00450B6F">
        <w:fldChar w:fldCharType="separate"/>
      </w:r>
      <w:r w:rsidRPr="00394F1F">
        <w:rPr>
          <w:sz w:val="28"/>
          <w:szCs w:val="28"/>
        </w:rPr>
        <w:t>СНиП</w:t>
      </w:r>
      <w:proofErr w:type="spellEnd"/>
      <w:r w:rsidRPr="00394F1F">
        <w:rPr>
          <w:sz w:val="28"/>
          <w:szCs w:val="28"/>
        </w:rPr>
        <w:t xml:space="preserve"> 2.04.03-85</w:t>
      </w:r>
      <w:r w:rsidR="00450B6F">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lastRenderedPageBreak/>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58" w:name="_bookmark10"/>
      <w:bookmarkEnd w:id="58"/>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491876296"/>
      <w:bookmarkStart w:id="60" w:name="_Toc502048410"/>
      <w:bookmarkStart w:id="61"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59"/>
      <w:bookmarkEnd w:id="60"/>
      <w:bookmarkEnd w:id="61"/>
    </w:p>
    <w:p w:rsidR="00C2417D" w:rsidRPr="00394F1F" w:rsidRDefault="00C2417D" w:rsidP="004D163A">
      <w:pPr>
        <w:pStyle w:val="afd"/>
        <w:spacing w:after="0"/>
        <w:ind w:right="113"/>
        <w:rPr>
          <w:sz w:val="28"/>
          <w:szCs w:val="28"/>
        </w:rPr>
      </w:pPr>
    </w:p>
    <w:p w:rsidR="00A157CA" w:rsidRPr="00A157CA" w:rsidRDefault="00A157CA" w:rsidP="00A157CA">
      <w:pPr>
        <w:tabs>
          <w:tab w:val="left" w:pos="2760"/>
        </w:tabs>
        <w:spacing w:line="288" w:lineRule="auto"/>
        <w:ind w:firstLine="709"/>
        <w:contextualSpacing/>
        <w:jc w:val="both"/>
        <w:rPr>
          <w:rFonts w:ascii="Times New Roman" w:eastAsia="Times New Roman" w:hAnsi="Times New Roman" w:cs="Times New Roman"/>
          <w:sz w:val="28"/>
          <w:szCs w:val="28"/>
          <w:lang w:eastAsia="ru-RU"/>
        </w:rPr>
      </w:pPr>
      <w:r w:rsidRPr="00A157CA">
        <w:rPr>
          <w:rFonts w:ascii="Times New Roman" w:eastAsia="Times New Roman" w:hAnsi="Times New Roman" w:cs="Times New Roman"/>
          <w:sz w:val="28"/>
          <w:szCs w:val="28"/>
          <w:lang w:eastAsia="ru-RU"/>
        </w:rPr>
        <w:t xml:space="preserve">Территория </w:t>
      </w:r>
      <w:proofErr w:type="spellStart"/>
      <w:r w:rsidRPr="00A157CA">
        <w:rPr>
          <w:rFonts w:ascii="Times New Roman" w:eastAsia="Times New Roman" w:hAnsi="Times New Roman" w:cs="Times New Roman"/>
          <w:sz w:val="28"/>
          <w:szCs w:val="28"/>
          <w:lang w:eastAsia="ru-RU"/>
        </w:rPr>
        <w:t>Дугинского</w:t>
      </w:r>
      <w:proofErr w:type="spellEnd"/>
      <w:r w:rsidRPr="00A157CA">
        <w:rPr>
          <w:rFonts w:ascii="Times New Roman" w:eastAsia="Times New Roman" w:hAnsi="Times New Roman" w:cs="Times New Roman"/>
          <w:sz w:val="28"/>
          <w:szCs w:val="28"/>
          <w:lang w:eastAsia="ru-RU"/>
        </w:rPr>
        <w:t xml:space="preserve"> сельского поселения расположена в южной части </w:t>
      </w:r>
      <w:proofErr w:type="spellStart"/>
      <w:r w:rsidRPr="00A157CA">
        <w:rPr>
          <w:rFonts w:ascii="Times New Roman" w:eastAsia="Times New Roman" w:hAnsi="Times New Roman" w:cs="Times New Roman"/>
          <w:sz w:val="28"/>
          <w:szCs w:val="28"/>
          <w:lang w:eastAsia="ru-RU"/>
        </w:rPr>
        <w:t>Сычевского</w:t>
      </w:r>
      <w:proofErr w:type="spellEnd"/>
      <w:r w:rsidRPr="00A157CA">
        <w:rPr>
          <w:rFonts w:ascii="Times New Roman" w:eastAsia="Times New Roman" w:hAnsi="Times New Roman" w:cs="Times New Roman"/>
          <w:sz w:val="28"/>
          <w:szCs w:val="28"/>
          <w:lang w:eastAsia="ru-RU"/>
        </w:rPr>
        <w:t xml:space="preserve"> района и имеет смежные границы:</w:t>
      </w:r>
    </w:p>
    <w:p w:rsidR="00A157CA" w:rsidRPr="00A157CA" w:rsidRDefault="00A157CA" w:rsidP="00A157CA">
      <w:pPr>
        <w:tabs>
          <w:tab w:val="left" w:pos="2760"/>
        </w:tabs>
        <w:spacing w:line="288" w:lineRule="auto"/>
        <w:ind w:firstLine="709"/>
        <w:contextualSpacing/>
        <w:jc w:val="both"/>
        <w:rPr>
          <w:rFonts w:ascii="Times New Roman" w:eastAsia="Times New Roman" w:hAnsi="Times New Roman" w:cs="Times New Roman"/>
          <w:sz w:val="28"/>
          <w:szCs w:val="28"/>
          <w:lang w:eastAsia="ru-RU"/>
        </w:rPr>
      </w:pPr>
      <w:r w:rsidRPr="00A157CA">
        <w:rPr>
          <w:rFonts w:ascii="Times New Roman" w:eastAsia="Times New Roman" w:hAnsi="Times New Roman" w:cs="Times New Roman"/>
          <w:sz w:val="28"/>
          <w:szCs w:val="28"/>
          <w:lang w:eastAsia="ru-RU"/>
        </w:rPr>
        <w:t xml:space="preserve">- на западе, юге, востоке - с </w:t>
      </w:r>
      <w:proofErr w:type="spellStart"/>
      <w:r w:rsidRPr="00A157CA">
        <w:rPr>
          <w:rFonts w:ascii="Times New Roman" w:eastAsia="Times New Roman" w:hAnsi="Times New Roman" w:cs="Times New Roman"/>
          <w:sz w:val="28"/>
          <w:szCs w:val="28"/>
          <w:lang w:eastAsia="ru-RU"/>
        </w:rPr>
        <w:t>Новодугинским</w:t>
      </w:r>
      <w:proofErr w:type="spellEnd"/>
      <w:r w:rsidRPr="00A157CA">
        <w:rPr>
          <w:rFonts w:ascii="Times New Roman" w:eastAsia="Times New Roman" w:hAnsi="Times New Roman" w:cs="Times New Roman"/>
          <w:sz w:val="28"/>
          <w:szCs w:val="28"/>
          <w:lang w:eastAsia="ru-RU"/>
        </w:rPr>
        <w:t xml:space="preserve"> районом;</w:t>
      </w:r>
    </w:p>
    <w:p w:rsidR="00A157CA" w:rsidRPr="00A157CA" w:rsidRDefault="00A157CA" w:rsidP="00A157CA">
      <w:pPr>
        <w:tabs>
          <w:tab w:val="left" w:pos="2760"/>
        </w:tabs>
        <w:spacing w:line="288" w:lineRule="auto"/>
        <w:ind w:firstLine="709"/>
        <w:contextualSpacing/>
        <w:jc w:val="both"/>
        <w:rPr>
          <w:rFonts w:ascii="Times New Roman" w:eastAsia="Times New Roman" w:hAnsi="Times New Roman" w:cs="Times New Roman"/>
          <w:sz w:val="28"/>
          <w:szCs w:val="28"/>
          <w:lang w:eastAsia="ru-RU"/>
        </w:rPr>
      </w:pPr>
      <w:r w:rsidRPr="00A157CA">
        <w:rPr>
          <w:rFonts w:ascii="Times New Roman" w:eastAsia="Times New Roman" w:hAnsi="Times New Roman" w:cs="Times New Roman"/>
          <w:sz w:val="28"/>
          <w:szCs w:val="28"/>
          <w:lang w:eastAsia="ru-RU"/>
        </w:rPr>
        <w:t xml:space="preserve">- на северо-западе – с </w:t>
      </w:r>
      <w:proofErr w:type="spellStart"/>
      <w:r w:rsidRPr="00A157CA">
        <w:rPr>
          <w:rFonts w:ascii="Times New Roman" w:eastAsia="Times New Roman" w:hAnsi="Times New Roman" w:cs="Times New Roman"/>
          <w:sz w:val="28"/>
          <w:szCs w:val="28"/>
          <w:lang w:eastAsia="ru-RU"/>
        </w:rPr>
        <w:t>Караваевским</w:t>
      </w:r>
      <w:proofErr w:type="spellEnd"/>
      <w:r w:rsidRPr="00A157CA">
        <w:rPr>
          <w:rFonts w:ascii="Times New Roman" w:eastAsia="Times New Roman" w:hAnsi="Times New Roman" w:cs="Times New Roman"/>
          <w:sz w:val="28"/>
          <w:szCs w:val="28"/>
          <w:lang w:eastAsia="ru-RU"/>
        </w:rPr>
        <w:t xml:space="preserve"> сельским поселением;</w:t>
      </w:r>
    </w:p>
    <w:p w:rsidR="00A157CA" w:rsidRPr="00A157CA" w:rsidRDefault="00A157CA" w:rsidP="00A157CA">
      <w:pPr>
        <w:tabs>
          <w:tab w:val="left" w:pos="2760"/>
        </w:tabs>
        <w:spacing w:line="288" w:lineRule="auto"/>
        <w:ind w:firstLine="709"/>
        <w:contextualSpacing/>
        <w:jc w:val="both"/>
        <w:rPr>
          <w:rFonts w:ascii="Times New Roman" w:eastAsia="Times New Roman" w:hAnsi="Times New Roman" w:cs="Times New Roman"/>
          <w:sz w:val="28"/>
          <w:szCs w:val="28"/>
          <w:lang w:eastAsia="ru-RU"/>
        </w:rPr>
      </w:pPr>
      <w:r w:rsidRPr="00A157CA">
        <w:rPr>
          <w:rFonts w:ascii="Times New Roman" w:eastAsia="Times New Roman" w:hAnsi="Times New Roman" w:cs="Times New Roman"/>
          <w:sz w:val="28"/>
          <w:szCs w:val="28"/>
          <w:lang w:eastAsia="ru-RU"/>
        </w:rPr>
        <w:t>- на севере - с Мальцевским и Никольским сельскими поселениями.</w:t>
      </w:r>
    </w:p>
    <w:p w:rsidR="001D3245" w:rsidRPr="001D3245" w:rsidRDefault="001D3245" w:rsidP="001D3245">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proofErr w:type="gramStart"/>
      <w:r w:rsidRPr="001D3245">
        <w:rPr>
          <w:rFonts w:ascii="Times New Roman" w:eastAsia="Times New Roman" w:hAnsi="Times New Roman" w:cs="Times New Roman"/>
          <w:sz w:val="28"/>
          <w:szCs w:val="28"/>
          <w:lang w:eastAsia="ru-RU"/>
        </w:rPr>
        <w:t xml:space="preserve">Границы </w:t>
      </w:r>
      <w:proofErr w:type="spellStart"/>
      <w:r w:rsidR="00A157CA">
        <w:rPr>
          <w:rFonts w:ascii="Times New Roman" w:eastAsia="Times New Roman" w:hAnsi="Times New Roman" w:cs="Times New Roman"/>
          <w:sz w:val="28"/>
          <w:szCs w:val="28"/>
          <w:lang w:eastAsia="ru-RU"/>
        </w:rPr>
        <w:t>Дугинского</w:t>
      </w:r>
      <w:proofErr w:type="spellEnd"/>
      <w:r w:rsidRPr="001D3245">
        <w:rPr>
          <w:rFonts w:ascii="Times New Roman" w:eastAsia="Times New Roman" w:hAnsi="Times New Roman" w:cs="Times New Roman"/>
          <w:sz w:val="28"/>
          <w:szCs w:val="28"/>
          <w:lang w:eastAsia="ru-RU"/>
        </w:rPr>
        <w:t xml:space="preserve"> сельского поселения, вновь образованного в соответствии с Областным законом Смоленской области № 69-з от 28 мая 2015 года «О преобразовании муниципальных образований </w:t>
      </w:r>
      <w:proofErr w:type="spell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w:t>
      </w:r>
      <w:proofErr w:type="gramEnd"/>
      <w:r w:rsidRPr="001D3245">
        <w:rPr>
          <w:rFonts w:ascii="Times New Roman" w:eastAsia="Times New Roman" w:hAnsi="Times New Roman" w:cs="Times New Roman"/>
          <w:sz w:val="28"/>
          <w:szCs w:val="28"/>
          <w:lang w:eastAsia="ru-RU"/>
        </w:rPr>
        <w:t xml:space="preserve"> </w:t>
      </w:r>
      <w:proofErr w:type="spellStart"/>
      <w:proofErr w:type="gram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Смоленской области» путем объединения </w:t>
      </w:r>
      <w:proofErr w:type="spellStart"/>
      <w:r w:rsidR="00A157CA">
        <w:rPr>
          <w:rFonts w:ascii="Times New Roman" w:eastAsia="Times New Roman" w:hAnsi="Times New Roman" w:cs="Times New Roman"/>
          <w:sz w:val="28"/>
          <w:szCs w:val="28"/>
          <w:lang w:eastAsia="ru-RU"/>
        </w:rPr>
        <w:t>Дугинского</w:t>
      </w:r>
      <w:proofErr w:type="spellEnd"/>
      <w:r w:rsidRPr="001D3245">
        <w:rPr>
          <w:rFonts w:ascii="Times New Roman" w:eastAsia="Times New Roman" w:hAnsi="Times New Roman" w:cs="Times New Roman"/>
          <w:sz w:val="28"/>
          <w:szCs w:val="28"/>
          <w:lang w:eastAsia="ru-RU"/>
        </w:rPr>
        <w:t xml:space="preserve"> сельского поселения </w:t>
      </w:r>
      <w:proofErr w:type="spell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Смоленской области и </w:t>
      </w:r>
      <w:proofErr w:type="spellStart"/>
      <w:r w:rsidRPr="001D3245">
        <w:rPr>
          <w:rFonts w:ascii="Times New Roman" w:eastAsia="Times New Roman" w:hAnsi="Times New Roman" w:cs="Times New Roman"/>
          <w:sz w:val="28"/>
          <w:szCs w:val="28"/>
          <w:lang w:eastAsia="ru-RU"/>
        </w:rPr>
        <w:t>Лукинского</w:t>
      </w:r>
      <w:proofErr w:type="spellEnd"/>
      <w:r w:rsidRPr="001D3245">
        <w:rPr>
          <w:rFonts w:ascii="Times New Roman" w:eastAsia="Times New Roman" w:hAnsi="Times New Roman" w:cs="Times New Roman"/>
          <w:sz w:val="28"/>
          <w:szCs w:val="28"/>
          <w:lang w:eastAsia="ru-RU"/>
        </w:rPr>
        <w:t xml:space="preserve"> сельского поселения </w:t>
      </w:r>
      <w:proofErr w:type="spell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Смоленской области, установлены законом Смоленской области от 20 декабря </w:t>
      </w:r>
      <w:smartTag w:uri="urn:schemas-microsoft-com:office:smarttags" w:element="metricconverter">
        <w:smartTagPr>
          <w:attr w:name="ProductID" w:val="2004 г"/>
        </w:smartTagPr>
        <w:r w:rsidRPr="001D3245">
          <w:rPr>
            <w:rFonts w:ascii="Times New Roman" w:eastAsia="Times New Roman" w:hAnsi="Times New Roman" w:cs="Times New Roman"/>
            <w:sz w:val="28"/>
            <w:szCs w:val="28"/>
            <w:lang w:eastAsia="ru-RU"/>
          </w:rPr>
          <w:t>2004 г</w:t>
        </w:r>
      </w:smartTag>
      <w:r w:rsidRPr="001D3245">
        <w:rPr>
          <w:rFonts w:ascii="Times New Roman" w:eastAsia="Times New Roman" w:hAnsi="Times New Roman" w:cs="Times New Roman"/>
          <w:sz w:val="28"/>
          <w:szCs w:val="28"/>
          <w:lang w:eastAsia="ru-RU"/>
        </w:rPr>
        <w:t>. № 106-з (ред. от 29.04.2006) «О наделении статусом муниципального района муниципального образования "</w:t>
      </w:r>
      <w:proofErr w:type="spellStart"/>
      <w:r w:rsidRPr="001D3245">
        <w:rPr>
          <w:rFonts w:ascii="Times New Roman" w:eastAsia="Times New Roman" w:hAnsi="Times New Roman" w:cs="Times New Roman"/>
          <w:sz w:val="28"/>
          <w:szCs w:val="28"/>
          <w:lang w:eastAsia="ru-RU"/>
        </w:rPr>
        <w:t>Сычевский</w:t>
      </w:r>
      <w:proofErr w:type="spellEnd"/>
      <w:r w:rsidRPr="001D3245">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w:t>
      </w:r>
      <w:proofErr w:type="gramEnd"/>
      <w:r w:rsidRPr="001D3245">
        <w:rPr>
          <w:rFonts w:ascii="Times New Roman" w:eastAsia="Times New Roman" w:hAnsi="Times New Roman" w:cs="Times New Roman"/>
          <w:sz w:val="28"/>
          <w:szCs w:val="28"/>
          <w:lang w:eastAsia="ru-RU"/>
        </w:rPr>
        <w:t xml:space="preserve"> статусом».</w:t>
      </w:r>
    </w:p>
    <w:p w:rsidR="001D3245" w:rsidRPr="001D3245" w:rsidRDefault="00A157CA" w:rsidP="00011556">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A157CA">
        <w:rPr>
          <w:rFonts w:ascii="Times New Roman" w:eastAsia="Times New Roman" w:hAnsi="Times New Roman" w:cs="Times New Roman"/>
          <w:sz w:val="28"/>
          <w:szCs w:val="28"/>
          <w:lang w:eastAsia="ru-RU"/>
        </w:rPr>
        <w:t xml:space="preserve">В состав </w:t>
      </w:r>
      <w:proofErr w:type="spellStart"/>
      <w:r w:rsidRPr="00A157CA">
        <w:rPr>
          <w:rFonts w:ascii="Times New Roman" w:eastAsia="Times New Roman" w:hAnsi="Times New Roman" w:cs="Times New Roman"/>
          <w:sz w:val="28"/>
          <w:szCs w:val="28"/>
          <w:lang w:eastAsia="ru-RU"/>
        </w:rPr>
        <w:t>Дугинского</w:t>
      </w:r>
      <w:proofErr w:type="spellEnd"/>
      <w:r w:rsidRPr="00A157CA">
        <w:rPr>
          <w:rFonts w:ascii="Times New Roman" w:eastAsia="Times New Roman" w:hAnsi="Times New Roman" w:cs="Times New Roman"/>
          <w:sz w:val="28"/>
          <w:szCs w:val="28"/>
          <w:lang w:eastAsia="ru-RU"/>
        </w:rPr>
        <w:t xml:space="preserve"> сельского поселения входит 31 населённый пункт: деревня </w:t>
      </w:r>
      <w:proofErr w:type="spellStart"/>
      <w:r w:rsidRPr="00A157CA">
        <w:rPr>
          <w:rFonts w:ascii="Times New Roman" w:eastAsia="Times New Roman" w:hAnsi="Times New Roman" w:cs="Times New Roman"/>
          <w:sz w:val="28"/>
          <w:szCs w:val="28"/>
          <w:lang w:eastAsia="ru-RU"/>
        </w:rPr>
        <w:t>Дугино</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Ананиха</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Бубниха</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Бычково</w:t>
      </w:r>
      <w:proofErr w:type="spellEnd"/>
      <w:r w:rsidRPr="00A157CA">
        <w:rPr>
          <w:rFonts w:ascii="Times New Roman" w:eastAsia="Times New Roman" w:hAnsi="Times New Roman" w:cs="Times New Roman"/>
          <w:sz w:val="28"/>
          <w:szCs w:val="28"/>
          <w:lang w:eastAsia="ru-RU"/>
        </w:rPr>
        <w:t xml:space="preserve">, деревня Горки, деревня Гребля, деревня </w:t>
      </w:r>
      <w:proofErr w:type="spellStart"/>
      <w:r w:rsidRPr="00A157CA">
        <w:rPr>
          <w:rFonts w:ascii="Times New Roman" w:eastAsia="Times New Roman" w:hAnsi="Times New Roman" w:cs="Times New Roman"/>
          <w:sz w:val="28"/>
          <w:szCs w:val="28"/>
          <w:lang w:eastAsia="ru-RU"/>
        </w:rPr>
        <w:t>Дерябкино</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Дмитрово</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Дубецкое</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Ерохово</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Иванцево</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Кашутиха</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Ладыгино</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Марьино</w:t>
      </w:r>
      <w:proofErr w:type="spellEnd"/>
      <w:r w:rsidRPr="00A157CA">
        <w:rPr>
          <w:rFonts w:ascii="Times New Roman" w:eastAsia="Times New Roman" w:hAnsi="Times New Roman" w:cs="Times New Roman"/>
          <w:sz w:val="28"/>
          <w:szCs w:val="28"/>
          <w:lang w:eastAsia="ru-RU"/>
        </w:rPr>
        <w:t xml:space="preserve">, деревня Мокрое, деревня </w:t>
      </w:r>
      <w:proofErr w:type="spellStart"/>
      <w:r w:rsidRPr="00A157CA">
        <w:rPr>
          <w:rFonts w:ascii="Times New Roman" w:eastAsia="Times New Roman" w:hAnsi="Times New Roman" w:cs="Times New Roman"/>
          <w:sz w:val="28"/>
          <w:szCs w:val="28"/>
          <w:lang w:eastAsia="ru-RU"/>
        </w:rPr>
        <w:t>Мураи</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Некрасиха</w:t>
      </w:r>
      <w:proofErr w:type="spellEnd"/>
      <w:r w:rsidRPr="00A157CA">
        <w:rPr>
          <w:rFonts w:ascii="Times New Roman" w:eastAsia="Times New Roman" w:hAnsi="Times New Roman" w:cs="Times New Roman"/>
          <w:sz w:val="28"/>
          <w:szCs w:val="28"/>
          <w:lang w:eastAsia="ru-RU"/>
        </w:rPr>
        <w:t xml:space="preserve">, деревня Осташово, деревня Печуры, деревня </w:t>
      </w:r>
      <w:proofErr w:type="spellStart"/>
      <w:r w:rsidRPr="00A157CA">
        <w:rPr>
          <w:rFonts w:ascii="Times New Roman" w:eastAsia="Times New Roman" w:hAnsi="Times New Roman" w:cs="Times New Roman"/>
          <w:sz w:val="28"/>
          <w:szCs w:val="28"/>
          <w:lang w:eastAsia="ru-RU"/>
        </w:rPr>
        <w:t>Подхабино</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Подъямное</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Поташено</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Светецкое</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Семенцево</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Синебрюхово</w:t>
      </w:r>
      <w:proofErr w:type="spellEnd"/>
      <w:r w:rsidRPr="00A157CA">
        <w:rPr>
          <w:rFonts w:ascii="Times New Roman" w:eastAsia="Times New Roman" w:hAnsi="Times New Roman" w:cs="Times New Roman"/>
          <w:sz w:val="28"/>
          <w:szCs w:val="28"/>
          <w:lang w:eastAsia="ru-RU"/>
        </w:rPr>
        <w:t>, деревня</w:t>
      </w:r>
      <w:proofErr w:type="gramEnd"/>
      <w:r w:rsidRPr="00A157CA">
        <w:rPr>
          <w:rFonts w:ascii="Times New Roman" w:eastAsia="Times New Roman" w:hAnsi="Times New Roman" w:cs="Times New Roman"/>
          <w:sz w:val="28"/>
          <w:szCs w:val="28"/>
          <w:lang w:eastAsia="ru-RU"/>
        </w:rPr>
        <w:t xml:space="preserve"> Софьино, </w:t>
      </w:r>
      <w:r w:rsidRPr="00A157CA">
        <w:rPr>
          <w:rFonts w:ascii="Times New Roman" w:eastAsia="Times New Roman" w:hAnsi="Times New Roman" w:cs="Times New Roman"/>
          <w:sz w:val="28"/>
          <w:szCs w:val="28"/>
          <w:lang w:eastAsia="ru-RU"/>
        </w:rPr>
        <w:lastRenderedPageBreak/>
        <w:t xml:space="preserve">деревня </w:t>
      </w:r>
      <w:proofErr w:type="spellStart"/>
      <w:r w:rsidRPr="00A157CA">
        <w:rPr>
          <w:rFonts w:ascii="Times New Roman" w:eastAsia="Times New Roman" w:hAnsi="Times New Roman" w:cs="Times New Roman"/>
          <w:sz w:val="28"/>
          <w:szCs w:val="28"/>
          <w:lang w:eastAsia="ru-RU"/>
        </w:rPr>
        <w:t>Сутормино</w:t>
      </w:r>
      <w:proofErr w:type="spellEnd"/>
      <w:r w:rsidRPr="00A157CA">
        <w:rPr>
          <w:rFonts w:ascii="Times New Roman" w:eastAsia="Times New Roman" w:hAnsi="Times New Roman" w:cs="Times New Roman"/>
          <w:sz w:val="28"/>
          <w:szCs w:val="28"/>
          <w:lang w:eastAsia="ru-RU"/>
        </w:rPr>
        <w:t xml:space="preserve">, деревня </w:t>
      </w:r>
      <w:proofErr w:type="spellStart"/>
      <w:r w:rsidRPr="00A157CA">
        <w:rPr>
          <w:rFonts w:ascii="Times New Roman" w:eastAsia="Times New Roman" w:hAnsi="Times New Roman" w:cs="Times New Roman"/>
          <w:sz w:val="28"/>
          <w:szCs w:val="28"/>
          <w:lang w:eastAsia="ru-RU"/>
        </w:rPr>
        <w:t>Сырокоренье</w:t>
      </w:r>
      <w:proofErr w:type="spellEnd"/>
      <w:r w:rsidRPr="00A157CA">
        <w:rPr>
          <w:rFonts w:ascii="Times New Roman" w:eastAsia="Times New Roman" w:hAnsi="Times New Roman" w:cs="Times New Roman"/>
          <w:sz w:val="28"/>
          <w:szCs w:val="28"/>
          <w:lang w:eastAsia="ru-RU"/>
        </w:rPr>
        <w:t xml:space="preserve">, деревня Тарасово, деревня Хотьково, деревня </w:t>
      </w:r>
      <w:proofErr w:type="spellStart"/>
      <w:r w:rsidRPr="00A157CA">
        <w:rPr>
          <w:rFonts w:ascii="Times New Roman" w:eastAsia="Times New Roman" w:hAnsi="Times New Roman" w:cs="Times New Roman"/>
          <w:sz w:val="28"/>
          <w:szCs w:val="28"/>
          <w:lang w:eastAsia="ru-RU"/>
        </w:rPr>
        <w:t>Хухрыниха</w:t>
      </w:r>
      <w:proofErr w:type="spellEnd"/>
      <w:r w:rsidR="001D3245">
        <w:rPr>
          <w:rFonts w:ascii="Times New Roman" w:eastAsia="Times New Roman" w:hAnsi="Times New Roman" w:cs="Times New Roman"/>
          <w:sz w:val="28"/>
          <w:szCs w:val="28"/>
          <w:lang w:eastAsia="ru-RU"/>
        </w:rPr>
        <w:t>.</w:t>
      </w:r>
    </w:p>
    <w:p w:rsidR="001D3245" w:rsidRPr="001D3245" w:rsidRDefault="00A157CA" w:rsidP="001D3245">
      <w:pPr>
        <w:spacing w:line="288" w:lineRule="auto"/>
        <w:ind w:firstLine="709"/>
        <w:contextualSpacing/>
        <w:jc w:val="both"/>
        <w:rPr>
          <w:rFonts w:ascii="Times New Roman" w:eastAsia="Times New Roman" w:hAnsi="Times New Roman" w:cs="Times New Roman"/>
          <w:sz w:val="28"/>
          <w:szCs w:val="28"/>
          <w:lang w:eastAsia="ru-RU"/>
        </w:rPr>
      </w:pPr>
      <w:r w:rsidRPr="00A157CA">
        <w:rPr>
          <w:rFonts w:ascii="Times New Roman" w:eastAsia="Times New Roman" w:hAnsi="Times New Roman" w:cs="Times New Roman"/>
          <w:sz w:val="28"/>
          <w:szCs w:val="28"/>
          <w:lang w:eastAsia="ru-RU"/>
        </w:rPr>
        <w:t xml:space="preserve">Административным центром </w:t>
      </w:r>
      <w:proofErr w:type="spellStart"/>
      <w:r w:rsidRPr="00A157CA">
        <w:rPr>
          <w:rFonts w:ascii="Times New Roman" w:eastAsia="Times New Roman" w:hAnsi="Times New Roman" w:cs="Times New Roman"/>
          <w:sz w:val="28"/>
          <w:szCs w:val="28"/>
          <w:lang w:eastAsia="ru-RU"/>
        </w:rPr>
        <w:t>Дугинского</w:t>
      </w:r>
      <w:proofErr w:type="spellEnd"/>
      <w:r w:rsidRPr="00A157CA">
        <w:rPr>
          <w:rFonts w:ascii="Times New Roman" w:eastAsia="Times New Roman" w:hAnsi="Times New Roman" w:cs="Times New Roman"/>
          <w:sz w:val="28"/>
          <w:szCs w:val="28"/>
          <w:lang w:eastAsia="ru-RU"/>
        </w:rPr>
        <w:t xml:space="preserve"> сельского поселения является деревня </w:t>
      </w:r>
      <w:proofErr w:type="spellStart"/>
      <w:r w:rsidRPr="00A157CA">
        <w:rPr>
          <w:rFonts w:ascii="Times New Roman" w:eastAsia="Times New Roman" w:hAnsi="Times New Roman" w:cs="Times New Roman"/>
          <w:sz w:val="28"/>
          <w:szCs w:val="28"/>
          <w:lang w:eastAsia="ru-RU"/>
        </w:rPr>
        <w:t>Дугино</w:t>
      </w:r>
      <w:proofErr w:type="spellEnd"/>
      <w:r w:rsidRPr="00A157CA">
        <w:rPr>
          <w:rFonts w:ascii="Times New Roman" w:eastAsia="Times New Roman" w:hAnsi="Times New Roman" w:cs="Times New Roman"/>
          <w:sz w:val="28"/>
          <w:szCs w:val="28"/>
          <w:lang w:eastAsia="ru-RU"/>
        </w:rPr>
        <w:t>. Населенный пункт расположен в 21 км к югу от г. Сычевка</w:t>
      </w:r>
      <w:r w:rsidR="001D3245" w:rsidRPr="001D3245">
        <w:rPr>
          <w:rFonts w:ascii="Times New Roman" w:eastAsia="Times New Roman" w:hAnsi="Times New Roman" w:cs="Times New Roman"/>
          <w:sz w:val="28"/>
          <w:szCs w:val="28"/>
          <w:lang w:eastAsia="ru-RU"/>
        </w:rPr>
        <w:t>.</w:t>
      </w:r>
    </w:p>
    <w:p w:rsidR="0000508F" w:rsidRPr="004B035C" w:rsidRDefault="0000508F"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2" w:name="_bookmark12"/>
      <w:bookmarkStart w:id="63" w:name="_Toc525541504"/>
      <w:bookmarkEnd w:id="6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xml:space="preserve">,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Pr="0041010C">
        <w:rPr>
          <w:rFonts w:ascii="Times New Roman" w:eastAsia="Times New Roman" w:hAnsi="Times New Roman" w:cs="Times New Roman"/>
          <w:b/>
          <w:bCs/>
          <w:sz w:val="28"/>
          <w:szCs w:val="28"/>
          <w:lang w:eastAsia="ru-RU"/>
        </w:rPr>
        <w:t>электросетевого</w:t>
      </w:r>
      <w:proofErr w:type="spellEnd"/>
      <w:r w:rsidRPr="0041010C">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xml:space="preserve">-, тепло-,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63"/>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4" w:name="_Toc502048412"/>
      <w:bookmarkStart w:id="65"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4"/>
      <w:bookmarkEnd w:id="65"/>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1"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00F80402" w:rsidRPr="00F80402">
        <w:rPr>
          <w:rFonts w:ascii="Times New Roman" w:hAnsi="Times New Roman" w:cs="Times New Roman"/>
          <w:sz w:val="28"/>
          <w:szCs w:val="28"/>
        </w:rPr>
        <w:t>электросетевого</w:t>
      </w:r>
      <w:proofErr w:type="spellEnd"/>
      <w:r w:rsidR="00F80402"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xml:space="preserve">-, тепло-,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lastRenderedPageBreak/>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 xml:space="preserve">по энергетике, </w:t>
      </w:r>
      <w:proofErr w:type="spellStart"/>
      <w:r w:rsidR="00E2051E">
        <w:rPr>
          <w:sz w:val="28"/>
          <w:szCs w:val="28"/>
        </w:rPr>
        <w:t>энергоэффективности</w:t>
      </w:r>
      <w:proofErr w:type="spellEnd"/>
      <w:r w:rsidR="00E2051E">
        <w:rPr>
          <w:sz w:val="28"/>
          <w:szCs w:val="28"/>
        </w:rPr>
        <w:t>,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3"/>
      <w:bookmarkStart w:id="67"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6"/>
      <w:bookmarkEnd w:id="67"/>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3"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w:t>
      </w:r>
      <w:r w:rsidRPr="00F80402">
        <w:rPr>
          <w:rFonts w:ascii="Times New Roman" w:hAnsi="Times New Roman" w:cs="Times New Roman"/>
          <w:sz w:val="28"/>
          <w:szCs w:val="28"/>
        </w:rPr>
        <w:lastRenderedPageBreak/>
        <w:t xml:space="preserve">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4"/>
      <w:bookmarkStart w:id="69"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68"/>
      <w:bookmarkEnd w:id="69"/>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5"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w:t>
      </w:r>
      <w:r w:rsidRPr="00F80402">
        <w:rPr>
          <w:rFonts w:ascii="Times New Roman" w:hAnsi="Times New Roman" w:cs="Times New Roman"/>
          <w:sz w:val="28"/>
          <w:szCs w:val="28"/>
        </w:rPr>
        <w:lastRenderedPageBreak/>
        <w:t xml:space="preserve">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6">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A157CA">
        <w:rPr>
          <w:sz w:val="28"/>
          <w:szCs w:val="28"/>
        </w:rPr>
        <w:t>Дугинского</w:t>
      </w:r>
      <w:proofErr w:type="spellEnd"/>
      <w:r w:rsidRPr="00394F1F">
        <w:rPr>
          <w:sz w:val="28"/>
          <w:szCs w:val="28"/>
        </w:rPr>
        <w:t xml:space="preserve"> сельского поселения согласно СП 131.13330.2012 приведены ниже</w:t>
      </w:r>
      <w:bookmarkStart w:id="70" w:name="_bookmark20"/>
      <w:bookmarkEnd w:id="70"/>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Поликлиники и лечебные </w:t>
            </w:r>
            <w:r w:rsidRPr="00394F1F">
              <w:rPr>
                <w:rFonts w:ascii="Times New Roman" w:hAnsi="Times New Roman" w:cs="Times New Roman"/>
                <w:sz w:val="28"/>
                <w:szCs w:val="28"/>
              </w:rPr>
              <w:lastRenderedPageBreak/>
              <w:t>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1" w:name="_Toc502048415"/>
      <w:bookmarkStart w:id="72"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1"/>
      <w:bookmarkEnd w:id="72"/>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водоснабжения </w:t>
      </w:r>
      <w:r w:rsidRPr="00F80402">
        <w:rPr>
          <w:rFonts w:ascii="Times New Roman" w:hAnsi="Times New Roman" w:cs="Times New Roman"/>
          <w:sz w:val="28"/>
          <w:szCs w:val="28"/>
        </w:rPr>
        <w:lastRenderedPageBreak/>
        <w:t>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3" w:name="_bookmark21"/>
            <w:bookmarkEnd w:id="73"/>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lastRenderedPageBreak/>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4" w:name="_bookmark22"/>
      <w:bookmarkEnd w:id="74"/>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5" w:name="_Toc502048416"/>
      <w:bookmarkStart w:id="76"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5"/>
      <w:bookmarkEnd w:id="76"/>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0"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водоснабжения населения, водоотведения, снабжения населения топливом, освещения улиц </w:t>
      </w:r>
      <w:r w:rsidRPr="00F80402">
        <w:rPr>
          <w:rFonts w:ascii="Times New Roman" w:hAnsi="Times New Roman" w:cs="Times New Roman"/>
          <w:sz w:val="28"/>
          <w:szCs w:val="28"/>
        </w:rPr>
        <w:lastRenderedPageBreak/>
        <w:t>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7" w:name="_bookmark23"/>
      <w:bookmarkEnd w:id="77"/>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02048417"/>
      <w:bookmarkStart w:id="79"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78"/>
      <w:bookmarkEnd w:id="79"/>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lastRenderedPageBreak/>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0" w:name="_Toc52554151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0"/>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3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3"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00781ACE" w:rsidRPr="00781ACE">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w:t>
      </w:r>
      <w:r w:rsidRPr="00394F1F">
        <w:rPr>
          <w:sz w:val="28"/>
          <w:szCs w:val="28"/>
        </w:rPr>
        <w:lastRenderedPageBreak/>
        <w:t>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proofErr w:type="spellStart"/>
      <w:r>
        <w:rPr>
          <w:sz w:val="28"/>
          <w:szCs w:val="28"/>
        </w:rPr>
        <w:t>Сычевского</w:t>
      </w:r>
      <w:proofErr w:type="spellEnd"/>
      <w:r w:rsidRPr="00394F1F">
        <w:rPr>
          <w:sz w:val="28"/>
          <w:szCs w:val="28"/>
        </w:rPr>
        <w:t xml:space="preserve"> района.</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устройство примыканий </w:t>
      </w:r>
      <w:proofErr w:type="spellStart"/>
      <w:r w:rsidRPr="00C553EC">
        <w:rPr>
          <w:rFonts w:ascii="Times New Roman" w:eastAsia="Times New Roman" w:hAnsi="Times New Roman" w:cs="Times New Roman"/>
          <w:sz w:val="28"/>
          <w:szCs w:val="28"/>
          <w:lang w:eastAsia="ru-RU"/>
        </w:rPr>
        <w:t>пешеходно-транспортных</w:t>
      </w:r>
      <w:proofErr w:type="spellEnd"/>
      <w:r w:rsidRPr="00C553EC">
        <w:rPr>
          <w:rFonts w:ascii="Times New Roman" w:eastAsia="Times New Roman" w:hAnsi="Times New Roman" w:cs="Times New Roman"/>
          <w:sz w:val="28"/>
          <w:szCs w:val="28"/>
          <w:lang w:eastAsia="ru-RU"/>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w:t>
      </w:r>
      <w:proofErr w:type="spellStart"/>
      <w:r w:rsidRPr="00C553EC">
        <w:rPr>
          <w:rFonts w:ascii="Times New Roman" w:eastAsia="Times New Roman" w:hAnsi="Times New Roman" w:cs="Times New Roman"/>
          <w:sz w:val="28"/>
          <w:szCs w:val="28"/>
          <w:lang w:eastAsia="ru-RU"/>
        </w:rPr>
        <w:t>машино-мест</w:t>
      </w:r>
      <w:proofErr w:type="spellEnd"/>
      <w:r w:rsidRPr="00C553EC">
        <w:rPr>
          <w:rFonts w:ascii="Times New Roman" w:eastAsia="Times New Roman" w:hAnsi="Times New Roman" w:cs="Times New Roman"/>
          <w:sz w:val="28"/>
          <w:szCs w:val="28"/>
          <w:lang w:eastAsia="ru-RU"/>
        </w:rPr>
        <w:t xml:space="preserve">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w:t>
      </w:r>
      <w:proofErr w:type="spellStart"/>
      <w:r w:rsidRPr="00C553EC">
        <w:rPr>
          <w:rFonts w:ascii="Times New Roman" w:eastAsia="Times New Roman" w:hAnsi="Times New Roman" w:cs="Times New Roman"/>
          <w:sz w:val="28"/>
          <w:szCs w:val="28"/>
          <w:lang w:eastAsia="ru-RU"/>
        </w:rPr>
        <w:t>приобъектных</w:t>
      </w:r>
      <w:proofErr w:type="spellEnd"/>
      <w:r w:rsidRPr="00C553EC">
        <w:rPr>
          <w:rFonts w:ascii="Times New Roman" w:eastAsia="Times New Roman" w:hAnsi="Times New Roman" w:cs="Times New Roman"/>
          <w:sz w:val="28"/>
          <w:szCs w:val="28"/>
          <w:lang w:eastAsia="ru-RU"/>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553EC">
        <w:rPr>
          <w:rFonts w:ascii="Times New Roman" w:eastAsia="Times New Roman" w:hAnsi="Times New Roman" w:cs="Times New Roman"/>
          <w:sz w:val="28"/>
          <w:szCs w:val="28"/>
          <w:lang w:eastAsia="ru-RU"/>
        </w:rPr>
        <w:t>СанПиН</w:t>
      </w:r>
      <w:proofErr w:type="spellEnd"/>
      <w:r w:rsidRPr="00C553EC">
        <w:rPr>
          <w:rFonts w:ascii="Times New Roman" w:eastAsia="Times New Roman" w:hAnsi="Times New Roman" w:cs="Times New Roman"/>
          <w:sz w:val="28"/>
          <w:szCs w:val="28"/>
          <w:lang w:eastAsia="ru-RU"/>
        </w:rPr>
        <w:t xml:space="preserve"> 2.2.1/2.1.1.1200-03</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proofErr w:type="gramStart"/>
      <w:r w:rsidRPr="00C553EC">
        <w:rPr>
          <w:rFonts w:ascii="Times New Roman" w:eastAsia="Times New Roman" w:hAnsi="Times New Roman" w:cs="Times New Roman"/>
          <w:sz w:val="28"/>
          <w:szCs w:val="28"/>
          <w:lang w:eastAsia="ru-RU"/>
        </w:rPr>
        <w:t>топливо-раздаточная</w:t>
      </w:r>
      <w:proofErr w:type="spellEnd"/>
      <w:proofErr w:type="gramEnd"/>
      <w:r w:rsidRPr="00C553EC">
        <w:rPr>
          <w:rFonts w:ascii="Times New Roman" w:eastAsia="Times New Roman" w:hAnsi="Times New Roman" w:cs="Times New Roman"/>
          <w:sz w:val="28"/>
          <w:szCs w:val="28"/>
          <w:lang w:eastAsia="ru-RU"/>
        </w:rPr>
        <w:t xml:space="preserve">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1"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1"/>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5"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roofErr w:type="gramEnd"/>
    </w:p>
    <w:p w:rsidR="005C652D" w:rsidRPr="00394F1F" w:rsidRDefault="005C652D" w:rsidP="005C652D">
      <w:pPr>
        <w:pStyle w:val="afd"/>
        <w:spacing w:after="0"/>
        <w:ind w:right="105" w:firstLine="709"/>
        <w:jc w:val="both"/>
        <w:rPr>
          <w:sz w:val="28"/>
          <w:szCs w:val="28"/>
        </w:rPr>
      </w:pPr>
      <w:r w:rsidRPr="00394F1F">
        <w:rPr>
          <w:sz w:val="28"/>
          <w:szCs w:val="28"/>
        </w:rPr>
        <w:lastRenderedPageBreak/>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2"/>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3"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3"/>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proofErr w:type="gramStart"/>
      <w:r w:rsidRPr="00AF7D67">
        <w:rPr>
          <w:sz w:val="28"/>
          <w:szCs w:val="28"/>
        </w:rPr>
        <w:t xml:space="preserve">Согласно </w:t>
      </w:r>
      <w:hyperlink r:id="rId36"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EC5767">
        <w:rPr>
          <w:sz w:val="28"/>
          <w:szCs w:val="28"/>
        </w:rPr>
        <w:t xml:space="preserve"> самоуправления в соответствии с жилищным </w:t>
      </w:r>
      <w:hyperlink r:id="rId37"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 xml:space="preserve">При определении жилых зон следует предусматривать их дифференциацию по типам застройки, градостроительной ценности территории, типу освоения </w:t>
      </w:r>
      <w:r w:rsidRPr="00394F1F">
        <w:rPr>
          <w:sz w:val="28"/>
          <w:szCs w:val="28"/>
        </w:rPr>
        <w:lastRenderedPageBreak/>
        <w:t>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малоэтажная жилая застройка – застройка многоквартирными жилыми домами высотой до 4 этажей, включая </w:t>
      </w:r>
      <w:proofErr w:type="gramStart"/>
      <w:r w:rsidRPr="00394F1F">
        <w:rPr>
          <w:rFonts w:ascii="Times New Roman" w:hAnsi="Times New Roman" w:cs="Times New Roman"/>
          <w:sz w:val="28"/>
          <w:szCs w:val="28"/>
        </w:rPr>
        <w:t>мансардный</w:t>
      </w:r>
      <w:proofErr w:type="gramEnd"/>
      <w:r w:rsidRPr="00394F1F">
        <w:rPr>
          <w:rFonts w:ascii="Times New Roman" w:hAnsi="Times New Roman" w:cs="Times New Roman"/>
          <w:sz w:val="28"/>
          <w:szCs w:val="28"/>
        </w:rPr>
        <w:t>, без отдельных земельны</w:t>
      </w:r>
      <w:r>
        <w:rPr>
          <w:rFonts w:ascii="Times New Roman" w:hAnsi="Times New Roman" w:cs="Times New Roman"/>
          <w:sz w:val="28"/>
          <w:szCs w:val="28"/>
        </w:rPr>
        <w:t>х участков.</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proofErr w:type="gramStart"/>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Pr>
          <w:sz w:val="28"/>
          <w:szCs w:val="28"/>
        </w:rPr>
        <w:t>Дугинского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roofErr w:type="gramEnd"/>
    </w:p>
    <w:p w:rsidR="00304328" w:rsidRPr="00394F1F" w:rsidRDefault="00304328" w:rsidP="00304328">
      <w:pPr>
        <w:pStyle w:val="afd"/>
        <w:spacing w:after="0"/>
        <w:ind w:firstLine="709"/>
        <w:jc w:val="both"/>
        <w:rPr>
          <w:sz w:val="28"/>
          <w:szCs w:val="28"/>
        </w:rPr>
      </w:pPr>
    </w:p>
    <w:p w:rsidR="00304328" w:rsidRPr="0018766D" w:rsidRDefault="00304328" w:rsidP="00304328">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304328" w:rsidRPr="00934A91" w:rsidTr="00B86DB0">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Размеры земельных участков, </w:t>
            </w:r>
            <w:proofErr w:type="gramStart"/>
            <w:r w:rsidRPr="00934A91">
              <w:rPr>
                <w:rFonts w:ascii="Times New Roman" w:hAnsi="Times New Roman" w:cs="Times New Roman"/>
                <w:sz w:val="28"/>
                <w:szCs w:val="28"/>
              </w:rPr>
              <w:t>га</w:t>
            </w:r>
            <w:proofErr w:type="gramEnd"/>
          </w:p>
        </w:tc>
      </w:tr>
      <w:tr w:rsidR="00304328" w:rsidRPr="00934A91" w:rsidTr="00B86DB0">
        <w:trPr>
          <w:cantSplit/>
          <w:jc w:val="center"/>
        </w:trPr>
        <w:tc>
          <w:tcPr>
            <w:tcW w:w="5500" w:type="dxa"/>
            <w:vMerge/>
            <w:tcBorders>
              <w:top w:val="single" w:sz="4" w:space="0" w:color="000000"/>
              <w:left w:val="single" w:sz="4" w:space="0" w:color="000000"/>
              <w:bottom w:val="single" w:sz="4" w:space="0" w:color="000000"/>
            </w:tcBorders>
            <w:vAlign w:val="center"/>
          </w:tcPr>
          <w:p w:rsidR="00304328" w:rsidRPr="00934A91" w:rsidRDefault="00304328" w:rsidP="00B86DB0">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304328" w:rsidRPr="00934A91" w:rsidTr="00B86DB0">
        <w:trPr>
          <w:trHeight w:val="763"/>
          <w:jc w:val="center"/>
        </w:trPr>
        <w:tc>
          <w:tcPr>
            <w:tcW w:w="5500" w:type="dxa"/>
            <w:tcBorders>
              <w:top w:val="single" w:sz="4" w:space="0" w:color="000000"/>
              <w:left w:val="single" w:sz="4" w:space="0" w:color="000000"/>
              <w:bottom w:val="single" w:sz="4" w:space="0" w:color="000000"/>
            </w:tcBorders>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r w:rsidR="00304328" w:rsidRPr="00934A91" w:rsidTr="00B86DB0">
        <w:trPr>
          <w:jc w:val="center"/>
        </w:trPr>
        <w:tc>
          <w:tcPr>
            <w:tcW w:w="5500" w:type="dxa"/>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bl>
    <w:p w:rsidR="00304328" w:rsidRPr="00394F1F" w:rsidRDefault="00304328"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lastRenderedPageBreak/>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8"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lastRenderedPageBreak/>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C1514E" w:rsidRPr="00394F1F" w:rsidRDefault="00C1514E"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lastRenderedPageBreak/>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4"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4"/>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3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w:t>
      </w:r>
      <w:r w:rsidRPr="00394F1F">
        <w:rPr>
          <w:sz w:val="28"/>
          <w:szCs w:val="28"/>
        </w:rPr>
        <w:lastRenderedPageBreak/>
        <w:t>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5"/>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 xml:space="preserve">Расчетные показатели максимально допустимого уровня территориальной доступности предприятий торговли, общественного питания и бытового </w:t>
      </w:r>
      <w:r w:rsidRPr="00394F1F">
        <w:rPr>
          <w:sz w:val="28"/>
          <w:szCs w:val="28"/>
        </w:rPr>
        <w:lastRenderedPageBreak/>
        <w:t>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6"/>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proofErr w:type="spellStart"/>
      <w:r w:rsidR="001322AC">
        <w:rPr>
          <w:sz w:val="28"/>
          <w:szCs w:val="28"/>
        </w:rPr>
        <w:t>Сычевского</w:t>
      </w:r>
      <w:proofErr w:type="spellEnd"/>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A157CA">
        <w:rPr>
          <w:sz w:val="28"/>
          <w:szCs w:val="28"/>
        </w:rPr>
        <w:t>Дугинского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A157CA">
        <w:rPr>
          <w:sz w:val="28"/>
          <w:szCs w:val="28"/>
        </w:rPr>
        <w:t>Дугинского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7" w:name="_bookmark18"/>
      <w:bookmarkEnd w:id="87"/>
    </w:p>
    <w:p w:rsidR="00C2417D" w:rsidRDefault="00C2417D" w:rsidP="004D163A">
      <w:pPr>
        <w:spacing w:after="0" w:line="240" w:lineRule="auto"/>
        <w:jc w:val="both"/>
        <w:rPr>
          <w:rFonts w:ascii="Times New Roman" w:hAnsi="Times New Roman" w:cs="Times New Roman"/>
          <w:sz w:val="28"/>
          <w:szCs w:val="28"/>
        </w:rPr>
      </w:pPr>
      <w:bookmarkStart w:id="88" w:name="_bookmark19"/>
      <w:bookmarkEnd w:id="88"/>
    </w:p>
    <w:p w:rsidR="00A63056" w:rsidRDefault="00A63056" w:rsidP="004D163A">
      <w:pPr>
        <w:spacing w:after="0" w:line="240" w:lineRule="auto"/>
        <w:jc w:val="both"/>
        <w:rPr>
          <w:rFonts w:ascii="Times New Roman" w:hAnsi="Times New Roman" w:cs="Times New Roman"/>
          <w:sz w:val="28"/>
          <w:szCs w:val="28"/>
        </w:rPr>
      </w:pPr>
    </w:p>
    <w:p w:rsidR="00A63056" w:rsidRDefault="00A63056" w:rsidP="004D163A">
      <w:pPr>
        <w:spacing w:after="0" w:line="240" w:lineRule="auto"/>
        <w:jc w:val="both"/>
        <w:rPr>
          <w:rFonts w:ascii="Times New Roman" w:hAnsi="Times New Roman" w:cs="Times New Roman"/>
          <w:sz w:val="28"/>
          <w:szCs w:val="28"/>
        </w:rPr>
      </w:pPr>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554151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89"/>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3"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4"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0"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0"/>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 xml:space="preserve">утверждение правил благоустройства территории поселения, осуществление </w:t>
      </w:r>
      <w:proofErr w:type="gramStart"/>
      <w:r w:rsidRPr="005769F1">
        <w:rPr>
          <w:sz w:val="28"/>
          <w:szCs w:val="28"/>
        </w:rPr>
        <w:t>контроля за</w:t>
      </w:r>
      <w:proofErr w:type="gramEnd"/>
      <w:r w:rsidRPr="005769F1">
        <w:rPr>
          <w:sz w:val="28"/>
          <w:szCs w:val="28"/>
        </w:rPr>
        <w:t xml:space="preserve">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6"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roofErr w:type="gramEnd"/>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proofErr w:type="spellStart"/>
      <w:r>
        <w:rPr>
          <w:sz w:val="28"/>
          <w:szCs w:val="28"/>
        </w:rPr>
        <w:t>Сычевского</w:t>
      </w:r>
      <w:proofErr w:type="spellEnd"/>
      <w:r w:rsidRPr="00394F1F">
        <w:rPr>
          <w:sz w:val="28"/>
          <w:szCs w:val="28"/>
        </w:rPr>
        <w:t xml:space="preserve"> района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1" w:name="_bookmark28"/>
      <w:bookmarkEnd w:id="91"/>
      <w:r w:rsidRPr="00394F1F">
        <w:rPr>
          <w:sz w:val="28"/>
          <w:szCs w:val="28"/>
        </w:rPr>
        <w:t xml:space="preserve">МНГП </w:t>
      </w:r>
      <w:proofErr w:type="spellStart"/>
      <w:r>
        <w:rPr>
          <w:sz w:val="28"/>
          <w:szCs w:val="28"/>
        </w:rPr>
        <w:t>Дугинского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2"/>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Pr>
          <w:sz w:val="28"/>
          <w:szCs w:val="28"/>
        </w:rPr>
        <w:t>муниципального образования «</w:t>
      </w:r>
      <w:proofErr w:type="spellStart"/>
      <w:r>
        <w:rPr>
          <w:sz w:val="28"/>
          <w:szCs w:val="28"/>
        </w:rPr>
        <w:t>Сычевский</w:t>
      </w:r>
      <w:proofErr w:type="spellEnd"/>
      <w:r>
        <w:rPr>
          <w:sz w:val="28"/>
          <w:szCs w:val="28"/>
        </w:rPr>
        <w:t xml:space="preserve"> район»</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3" w:name="_Toc523995703"/>
      <w:bookmarkStart w:id="94"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3"/>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4"/>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5"/>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Pr>
          <w:sz w:val="28"/>
          <w:szCs w:val="28"/>
        </w:rPr>
        <w:t>Дугинского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Pr>
          <w:sz w:val="28"/>
          <w:szCs w:val="28"/>
        </w:rPr>
        <w:t>Дугинского</w:t>
      </w:r>
      <w:proofErr w:type="spellEnd"/>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Toc52554152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6"/>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7"/>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98"/>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w:t>
      </w:r>
      <w:proofErr w:type="gramStart"/>
      <w:r>
        <w:rPr>
          <w:sz w:val="28"/>
          <w:szCs w:val="28"/>
        </w:rPr>
        <w:t xml:space="preserve"> Д</w:t>
      </w:r>
      <w:proofErr w:type="gramEnd"/>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bookmark36"/>
      <w:bookmarkStart w:id="100" w:name="_bookmark37"/>
      <w:bookmarkStart w:id="101" w:name="_bookmark38"/>
      <w:bookmarkStart w:id="102" w:name="_Toc525541526"/>
      <w:bookmarkEnd w:id="99"/>
      <w:bookmarkEnd w:id="100"/>
      <w:bookmarkEnd w:id="10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2"/>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A157CA">
        <w:rPr>
          <w:sz w:val="28"/>
          <w:szCs w:val="28"/>
        </w:rPr>
        <w:t>Дугинскому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A157CA">
        <w:rPr>
          <w:sz w:val="28"/>
          <w:szCs w:val="28"/>
        </w:rPr>
        <w:t>Дугинскому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3"/>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4"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4"/>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49">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Зоны 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самостоятельным или 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0">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proofErr w:type="spellStart"/>
      <w:r w:rsidR="001322AC">
        <w:rPr>
          <w:sz w:val="28"/>
          <w:szCs w:val="28"/>
        </w:rPr>
        <w:t>Сычевского</w:t>
      </w:r>
      <w:proofErr w:type="spellEnd"/>
      <w:r w:rsidRPr="00394F1F">
        <w:rPr>
          <w:sz w:val="28"/>
          <w:szCs w:val="28"/>
        </w:rPr>
        <w:t xml:space="preserve"> района и </w:t>
      </w:r>
      <w:proofErr w:type="spellStart"/>
      <w:r w:rsidR="00A157CA">
        <w:rPr>
          <w:sz w:val="28"/>
          <w:szCs w:val="28"/>
        </w:rPr>
        <w:t>Дугинского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1">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5"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A157CA">
        <w:rPr>
          <w:sz w:val="28"/>
          <w:szCs w:val="28"/>
        </w:rPr>
        <w:t>Дугинского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52">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proofErr w:type="gramEnd"/>
      <w:r w:rsidR="00E308E7" w:rsidRPr="00394F1F">
        <w:rPr>
          <w:sz w:val="28"/>
          <w:szCs w:val="28"/>
        </w:rPr>
        <w:t>»</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proofErr w:type="spellStart"/>
      <w:r w:rsidR="001322AC">
        <w:rPr>
          <w:sz w:val="28"/>
          <w:szCs w:val="28"/>
        </w:rPr>
        <w:t>Сычевского</w:t>
      </w:r>
      <w:proofErr w:type="spellEnd"/>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41530"/>
      <w:r w:rsidRPr="009A1844">
        <w:rPr>
          <w:rFonts w:ascii="Times New Roman" w:eastAsia="Times New Roman" w:hAnsi="Times New Roman" w:cs="Times New Roman"/>
          <w:b/>
          <w:bCs/>
          <w:sz w:val="28"/>
          <w:szCs w:val="28"/>
          <w:lang w:eastAsia="ru-RU"/>
        </w:rPr>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6"/>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7" w:name="Par1"/>
      <w:bookmarkEnd w:id="107"/>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3"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4"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5" w:history="1">
        <w:r w:rsidRPr="00C62DB4">
          <w:rPr>
            <w:sz w:val="28"/>
            <w:szCs w:val="28"/>
          </w:rPr>
          <w:t>пунктами 3</w:t>
        </w:r>
      </w:hyperlink>
      <w:r w:rsidRPr="00C62DB4">
        <w:rPr>
          <w:sz w:val="28"/>
          <w:szCs w:val="28"/>
        </w:rPr>
        <w:t xml:space="preserve"> и </w:t>
      </w:r>
      <w:hyperlink r:id="rId56"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57"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58"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охраны другого объекта культурного наследия либо в границах предусмотренной </w:t>
      </w:r>
      <w:hyperlink r:id="rId59"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08"/>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9" w:name="_Toc525541532"/>
      <w:r w:rsidRPr="00394F1F">
        <w:rPr>
          <w:rFonts w:ascii="Times New Roman" w:hAnsi="Times New Roman" w:cs="Times New Roman"/>
          <w:b/>
          <w:sz w:val="28"/>
          <w:szCs w:val="28"/>
        </w:rPr>
        <w:t>ПРАВИЛА И ОБЛАСТЬ ПРИМЕНЕНИЯ РАСЧЕТНЫХ ПОКАЗАТЕЛЕЙ, СОДЕРЖАЩИХСЯ В ОСНОВНОЙ ЧАСТИ НОРМАТИВОВ ГРАДОСТРОИТЕЛЬНОГО ПРОЕКТИРОВАНИЯ</w:t>
      </w:r>
      <w:bookmarkEnd w:id="109"/>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A157CA">
        <w:rPr>
          <w:rFonts w:ascii="Times New Roman" w:hAnsi="Times New Roman" w:cs="Times New Roman"/>
          <w:sz w:val="28"/>
          <w:szCs w:val="28"/>
        </w:rPr>
        <w:t>Дугинского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A157CA">
        <w:rPr>
          <w:rFonts w:ascii="Times New Roman" w:hAnsi="Times New Roman" w:cs="Times New Roman"/>
          <w:sz w:val="28"/>
          <w:szCs w:val="28"/>
        </w:rPr>
        <w:t>Дугинского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A157CA">
        <w:rPr>
          <w:rFonts w:ascii="Times New Roman" w:hAnsi="Times New Roman" w:cs="Times New Roman"/>
          <w:sz w:val="28"/>
          <w:szCs w:val="28"/>
        </w:rPr>
        <w:t>Дугинского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A157CA">
        <w:rPr>
          <w:rFonts w:ascii="Times New Roman" w:hAnsi="Times New Roman" w:cs="Times New Roman"/>
          <w:sz w:val="28"/>
          <w:szCs w:val="28"/>
        </w:rPr>
        <w:t>Дугинского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A157CA">
        <w:rPr>
          <w:rFonts w:ascii="Times New Roman" w:hAnsi="Times New Roman" w:cs="Times New Roman"/>
          <w:sz w:val="28"/>
          <w:szCs w:val="28"/>
        </w:rPr>
        <w:t>Дугинского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A157CA">
        <w:rPr>
          <w:rFonts w:ascii="Times New Roman" w:hAnsi="Times New Roman" w:cs="Times New Roman"/>
          <w:sz w:val="28"/>
          <w:szCs w:val="28"/>
        </w:rPr>
        <w:t>Дугинского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0" w:name="_Toc491876326"/>
      <w:bookmarkStart w:id="111" w:name="_Toc502048447"/>
      <w:bookmarkStart w:id="112" w:name="_Toc525541533"/>
      <w:r w:rsidRPr="00394F1F">
        <w:rPr>
          <w:rFonts w:ascii="Times New Roman" w:hAnsi="Times New Roman" w:cs="Times New Roman"/>
          <w:color w:val="auto"/>
          <w:sz w:val="28"/>
          <w:szCs w:val="28"/>
        </w:rPr>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0"/>
      <w:bookmarkEnd w:id="111"/>
      <w:bookmarkEnd w:id="112"/>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3"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тепл</w:t>
            </w:r>
            <w:proofErr w:type="gramStart"/>
            <w:r w:rsidRPr="00BB4481">
              <w:rPr>
                <w:rFonts w:ascii="Times New Roman" w:hAnsi="Times New Roman" w:cs="Times New Roman"/>
                <w:b/>
                <w:sz w:val="28"/>
                <w:szCs w:val="28"/>
              </w:rPr>
              <w:t>о-</w:t>
            </w:r>
            <w:proofErr w:type="gramEnd"/>
            <w:r w:rsidRPr="00BB4481">
              <w:rPr>
                <w:rFonts w:ascii="Times New Roman" w:hAnsi="Times New Roman" w:cs="Times New Roman"/>
                <w:b/>
                <w:sz w:val="28"/>
                <w:szCs w:val="28"/>
              </w:rPr>
              <w:t xml:space="preserve">,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xml:space="preserve">- и водоснабжения населения, водоотведения, в том числе объекты </w:t>
            </w:r>
            <w:proofErr w:type="spellStart"/>
            <w:r w:rsidRPr="00BB4481">
              <w:rPr>
                <w:rFonts w:ascii="Times New Roman" w:hAnsi="Times New Roman" w:cs="Times New Roman"/>
                <w:b/>
                <w:sz w:val="28"/>
                <w:szCs w:val="28"/>
              </w:rPr>
              <w:t>электросетевого</w:t>
            </w:r>
            <w:proofErr w:type="spellEnd"/>
            <w:r w:rsidRPr="00BB4481">
              <w:rPr>
                <w:rFonts w:ascii="Times New Roman" w:hAnsi="Times New Roman" w:cs="Times New Roman"/>
                <w:b/>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xml:space="preserve">-, тепло-,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водоснабжения населения, водоотведения, снабжения населения топливом, освещения улиц населенных пунктов поселения</w:t>
            </w:r>
            <w:bookmarkEnd w:id="113"/>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4"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4"/>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0"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5"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5"/>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6" w:name="_Toc524000213"/>
            <w:r w:rsidRPr="00EA5A17">
              <w:rPr>
                <w:rFonts w:ascii="Times New Roman" w:hAnsi="Times New Roman" w:cs="Times New Roman"/>
                <w:b/>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6"/>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1"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7" w:name="_Toc524000214"/>
            <w:r w:rsidRPr="00AB578D">
              <w:rPr>
                <w:rFonts w:ascii="Times New Roman" w:hAnsi="Times New Roman" w:cs="Times New Roman"/>
                <w:sz w:val="28"/>
                <w:szCs w:val="28"/>
              </w:rPr>
              <w:t>Объекты муниципального жилищного фонда</w:t>
            </w:r>
            <w:bookmarkEnd w:id="117"/>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1322AC" w:rsidP="004D163A">
            <w:pPr>
              <w:pStyle w:val="TableParagraph"/>
              <w:ind w:right="728"/>
              <w:rPr>
                <w:sz w:val="28"/>
                <w:szCs w:val="28"/>
                <w:lang w:val="ru-RU"/>
              </w:rPr>
            </w:pPr>
            <w:proofErr w:type="spellStart"/>
            <w:r>
              <w:rPr>
                <w:sz w:val="28"/>
                <w:szCs w:val="28"/>
                <w:lang w:val="ru-RU"/>
              </w:rPr>
              <w:t>Сычевский</w:t>
            </w:r>
            <w:proofErr w:type="spellEnd"/>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proofErr w:type="spellStart"/>
            <w:r w:rsidR="001322AC">
              <w:rPr>
                <w:sz w:val="28"/>
                <w:szCs w:val="28"/>
                <w:lang w:val="ru-RU"/>
              </w:rPr>
              <w:t>Сычевский</w:t>
            </w:r>
            <w:proofErr w:type="spellEnd"/>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A157CA" w:rsidP="004D163A">
            <w:pPr>
              <w:pStyle w:val="TableParagraph"/>
              <w:ind w:right="87"/>
              <w:rPr>
                <w:sz w:val="28"/>
                <w:szCs w:val="28"/>
                <w:lang w:val="ru-RU"/>
              </w:rPr>
            </w:pPr>
            <w:proofErr w:type="spellStart"/>
            <w:r>
              <w:rPr>
                <w:sz w:val="28"/>
                <w:szCs w:val="28"/>
                <w:lang w:val="ru-RU"/>
              </w:rPr>
              <w:t>Дугинское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A157CA">
              <w:rPr>
                <w:sz w:val="28"/>
                <w:szCs w:val="28"/>
                <w:lang w:val="ru-RU"/>
              </w:rPr>
              <w:t>Дугинского</w:t>
            </w:r>
            <w:proofErr w:type="spellEnd"/>
            <w:r w:rsidRPr="00394F1F">
              <w:rPr>
                <w:sz w:val="28"/>
                <w:szCs w:val="28"/>
                <w:lang w:val="ru-RU"/>
              </w:rPr>
              <w:t xml:space="preserve"> сельского поселения, МНГП </w:t>
            </w:r>
            <w:proofErr w:type="spellStart"/>
            <w:r w:rsidR="00A157CA">
              <w:rPr>
                <w:sz w:val="28"/>
                <w:szCs w:val="28"/>
                <w:lang w:val="ru-RU"/>
              </w:rPr>
              <w:t>Дугинского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A157CA">
              <w:rPr>
                <w:sz w:val="28"/>
                <w:szCs w:val="28"/>
                <w:lang w:val="ru-RU"/>
              </w:rPr>
              <w:t>Дугинского</w:t>
            </w:r>
            <w:proofErr w:type="spellEnd"/>
            <w:r w:rsidRPr="00394F1F">
              <w:rPr>
                <w:sz w:val="28"/>
                <w:szCs w:val="28"/>
                <w:lang w:val="ru-RU"/>
              </w:rPr>
              <w:t xml:space="preserve"> сельского поселения </w:t>
            </w:r>
            <w:r w:rsidR="009B17A9">
              <w:rPr>
                <w:sz w:val="28"/>
                <w:szCs w:val="28"/>
                <w:lang w:val="ru-RU"/>
              </w:rPr>
              <w:t>муниципального образования «</w:t>
            </w:r>
            <w:proofErr w:type="spellStart"/>
            <w:r w:rsidR="001322AC">
              <w:rPr>
                <w:sz w:val="28"/>
                <w:szCs w:val="28"/>
                <w:lang w:val="ru-RU"/>
              </w:rPr>
              <w:t>Сычевский</w:t>
            </w:r>
            <w:proofErr w:type="spellEnd"/>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A157CA">
        <w:rPr>
          <w:sz w:val="28"/>
          <w:szCs w:val="28"/>
        </w:rPr>
        <w:t>Дугинского</w:t>
      </w:r>
      <w:proofErr w:type="spellEnd"/>
      <w:r w:rsidRPr="00394F1F">
        <w:rPr>
          <w:sz w:val="28"/>
          <w:szCs w:val="28"/>
        </w:rPr>
        <w:t xml:space="preserve"> сельского поселения </w:t>
      </w:r>
      <w:proofErr w:type="spellStart"/>
      <w:r w:rsidR="001322AC">
        <w:rPr>
          <w:sz w:val="28"/>
          <w:szCs w:val="28"/>
        </w:rPr>
        <w:t>Сычевского</w:t>
      </w:r>
      <w:proofErr w:type="spellEnd"/>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proofErr w:type="spellStart"/>
      <w:r w:rsidR="001322AC">
        <w:rPr>
          <w:rFonts w:ascii="Times New Roman" w:hAnsi="Times New Roman" w:cs="Times New Roman"/>
          <w:sz w:val="28"/>
          <w:szCs w:val="28"/>
        </w:rPr>
        <w:t>Сычевского</w:t>
      </w:r>
      <w:proofErr w:type="spellEnd"/>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proofErr w:type="spellStart"/>
      <w:r w:rsidR="001322AC">
        <w:rPr>
          <w:rFonts w:ascii="Times New Roman" w:hAnsi="Times New Roman" w:cs="Times New Roman"/>
          <w:sz w:val="28"/>
          <w:szCs w:val="28"/>
        </w:rPr>
        <w:t>Сычевского</w:t>
      </w:r>
      <w:proofErr w:type="spellEnd"/>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proofErr w:type="spellStart"/>
      <w:r w:rsidR="001322AC">
        <w:rPr>
          <w:rFonts w:ascii="Times New Roman" w:hAnsi="Times New Roman" w:cs="Times New Roman"/>
          <w:sz w:val="28"/>
          <w:szCs w:val="28"/>
        </w:rPr>
        <w:t>Сычевский</w:t>
      </w:r>
      <w:proofErr w:type="spellEnd"/>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B4E" w:rsidRDefault="00D84B4E" w:rsidP="0027659D">
      <w:pPr>
        <w:spacing w:after="0" w:line="240" w:lineRule="auto"/>
      </w:pPr>
      <w:r>
        <w:separator/>
      </w:r>
    </w:p>
  </w:endnote>
  <w:endnote w:type="continuationSeparator" w:id="0">
    <w:p w:rsidR="00D84B4E" w:rsidRDefault="00D84B4E"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01DF7" w:rsidRDefault="00C677D0" w:rsidP="008259BE">
    <w:pPr>
      <w:pStyle w:val="a9"/>
      <w:pBdr>
        <w:top w:val="single" w:sz="4" w:space="1" w:color="auto"/>
      </w:pBdr>
      <w:jc w:val="center"/>
      <w:rPr>
        <w:i/>
        <w:iCs/>
        <w:sz w:val="20"/>
        <w:szCs w:val="20"/>
      </w:rPr>
    </w:pPr>
    <w:r>
      <w:rPr>
        <w:bCs/>
        <w:i/>
        <w:iCs/>
        <w:sz w:val="20"/>
      </w:rPr>
      <w:t>ООО «ГРАДОСТРОИТЕЛЬСТВО И  КАДАСТР»</w:t>
    </w:r>
  </w:p>
  <w:p w:rsidR="00C677D0" w:rsidRPr="00936BEF" w:rsidRDefault="00C677D0" w:rsidP="008259BE">
    <w:pPr>
      <w:pStyle w:val="a9"/>
      <w:pBdr>
        <w:top w:val="single" w:sz="4" w:space="1" w:color="auto"/>
      </w:pBdr>
      <w:jc w:val="center"/>
      <w:rPr>
        <w:i/>
        <w:sz w:val="20"/>
      </w:rPr>
    </w:pPr>
  </w:p>
  <w:p w:rsidR="00C677D0" w:rsidRDefault="00450B6F">
    <w:pPr>
      <w:pStyle w:val="a9"/>
      <w:jc w:val="center"/>
    </w:pPr>
    <w:fldSimple w:instr=" PAGE   \* MERGEFORMAT ">
      <w:r w:rsidR="00C677D0">
        <w:rPr>
          <w:noProof/>
        </w:rPr>
        <w:t>2</w:t>
      </w:r>
    </w:fldSimple>
  </w:p>
  <w:p w:rsidR="00C677D0" w:rsidRPr="00CA143D" w:rsidRDefault="00C677D0">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E621B" w:rsidRDefault="00C677D0" w:rsidP="008259BE">
    <w:pPr>
      <w:pStyle w:val="a9"/>
      <w:jc w:val="center"/>
    </w:pPr>
  </w:p>
  <w:p w:rsidR="00C677D0" w:rsidRDefault="00C677D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01DF7" w:rsidRDefault="00C677D0" w:rsidP="008259BE">
    <w:pPr>
      <w:pStyle w:val="a9"/>
      <w:pBdr>
        <w:top w:val="single" w:sz="4" w:space="1" w:color="auto"/>
      </w:pBdr>
      <w:jc w:val="center"/>
      <w:rPr>
        <w:i/>
        <w:iCs/>
        <w:sz w:val="20"/>
        <w:szCs w:val="20"/>
      </w:rPr>
    </w:pPr>
    <w:r>
      <w:rPr>
        <w:bCs/>
        <w:i/>
        <w:iCs/>
        <w:sz w:val="20"/>
      </w:rPr>
      <w:t>ООО «ГРАДОСТРОИТЕЛЬСТВО И  КАДАСТР»</w:t>
    </w:r>
  </w:p>
  <w:p w:rsidR="00C677D0" w:rsidRPr="00936BEF" w:rsidRDefault="00C677D0" w:rsidP="008259BE">
    <w:pPr>
      <w:pStyle w:val="a9"/>
      <w:pBdr>
        <w:top w:val="single" w:sz="4" w:space="1" w:color="auto"/>
      </w:pBdr>
      <w:jc w:val="center"/>
      <w:rPr>
        <w:i/>
        <w:sz w:val="20"/>
      </w:rPr>
    </w:pPr>
  </w:p>
  <w:p w:rsidR="00C677D0" w:rsidRDefault="00450B6F">
    <w:pPr>
      <w:pStyle w:val="a9"/>
      <w:jc w:val="center"/>
    </w:pPr>
    <w:fldSimple w:instr=" PAGE   \* MERGEFORMAT ">
      <w:r w:rsidR="00C677D0">
        <w:rPr>
          <w:noProof/>
        </w:rPr>
        <w:t>3</w:t>
      </w:r>
    </w:fldSimple>
  </w:p>
  <w:p w:rsidR="00C677D0" w:rsidRPr="00CA143D" w:rsidRDefault="00C677D0">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E621B" w:rsidRDefault="00C677D0" w:rsidP="008259BE">
    <w:pPr>
      <w:pStyle w:val="a9"/>
      <w:jc w:val="center"/>
    </w:pPr>
  </w:p>
  <w:p w:rsidR="00C677D0" w:rsidRDefault="00C677D0">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B05F91" w:rsidRDefault="00C677D0"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C677D0" w:rsidRPr="00B05F91" w:rsidRDefault="00C677D0" w:rsidP="00B05F91">
    <w:pPr>
      <w:pStyle w:val="a9"/>
      <w:pBdr>
        <w:top w:val="single" w:sz="4" w:space="1" w:color="auto"/>
      </w:pBdr>
      <w:jc w:val="center"/>
      <w:rPr>
        <w:rFonts w:ascii="Times New Roman" w:hAnsi="Times New Roman" w:cs="Times New Roman"/>
        <w:i/>
      </w:rPr>
    </w:pPr>
  </w:p>
  <w:p w:rsidR="00C677D0" w:rsidRPr="00B05F91" w:rsidRDefault="00450B6F" w:rsidP="00B05F91">
    <w:pPr>
      <w:pStyle w:val="a9"/>
      <w:jc w:val="center"/>
      <w:rPr>
        <w:rFonts w:ascii="Times New Roman" w:hAnsi="Times New Roman" w:cs="Times New Roman"/>
      </w:rPr>
    </w:pPr>
    <w:r w:rsidRPr="00B05F91">
      <w:rPr>
        <w:rFonts w:ascii="Times New Roman" w:hAnsi="Times New Roman" w:cs="Times New Roman"/>
      </w:rPr>
      <w:fldChar w:fldCharType="begin"/>
    </w:r>
    <w:r w:rsidR="00C677D0"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3C06D4">
      <w:rPr>
        <w:rFonts w:ascii="Times New Roman" w:hAnsi="Times New Roman" w:cs="Times New Roman"/>
        <w:noProof/>
      </w:rPr>
      <w:t>118</w:t>
    </w:r>
    <w:r w:rsidRPr="00B05F91">
      <w:rPr>
        <w:rFonts w:ascii="Times New Roman" w:hAnsi="Times New Roman" w:cs="Times New Roman"/>
      </w:rPr>
      <w:fldChar w:fldCharType="end"/>
    </w:r>
  </w:p>
  <w:p w:rsidR="00C677D0" w:rsidRDefault="00C677D0">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B4E" w:rsidRDefault="00D84B4E" w:rsidP="0027659D">
      <w:pPr>
        <w:spacing w:after="0" w:line="240" w:lineRule="auto"/>
      </w:pPr>
      <w:r>
        <w:separator/>
      </w:r>
    </w:p>
  </w:footnote>
  <w:footnote w:type="continuationSeparator" w:id="0">
    <w:p w:rsidR="00D84B4E" w:rsidRDefault="00D84B4E"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B05F91" w:rsidRDefault="00C677D0"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Pr>
        <w:rFonts w:ascii="Times New Roman" w:hAnsi="Times New Roman" w:cs="Times New Roman"/>
        <w:i/>
        <w:sz w:val="20"/>
      </w:rPr>
      <w:t>Дугинского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r w:rsidRPr="009B17A9">
      <w:rPr>
        <w:rFonts w:ascii="Times New Roman" w:hAnsi="Times New Roman" w:cs="Times New Roman"/>
        <w:i/>
        <w:sz w:val="20"/>
      </w:rPr>
      <w:t>муниципального образования «</w:t>
    </w:r>
    <w:proofErr w:type="spellStart"/>
    <w:r>
      <w:rPr>
        <w:rFonts w:ascii="Times New Roman" w:hAnsi="Times New Roman" w:cs="Times New Roman"/>
        <w:i/>
        <w:sz w:val="20"/>
      </w:rPr>
      <w:t>Сычевский</w:t>
    </w:r>
    <w:proofErr w:type="spellEnd"/>
    <w:r w:rsidRPr="009B17A9">
      <w:rPr>
        <w:rFonts w:ascii="Times New Roman" w:hAnsi="Times New Roman" w:cs="Times New Roman"/>
        <w:i/>
        <w:sz w:val="20"/>
      </w:rPr>
      <w:t xml:space="preserve"> район» Смоленской области</w:t>
    </w:r>
  </w:p>
  <w:p w:rsidR="00C677D0" w:rsidRDefault="00C677D0"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09954"/>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B1317"/>
    <w:rsid w:val="005B2595"/>
    <w:rsid w:val="005B3BF6"/>
    <w:rsid w:val="005B3D69"/>
    <w:rsid w:val="005B3ED2"/>
    <w:rsid w:val="005B4CFF"/>
    <w:rsid w:val="005B638A"/>
    <w:rsid w:val="005B6950"/>
    <w:rsid w:val="005B7808"/>
    <w:rsid w:val="005C0988"/>
    <w:rsid w:val="005C09C2"/>
    <w:rsid w:val="005C1B2F"/>
    <w:rsid w:val="005C227D"/>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9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C6A4D78669D02F5015F66DE29DFF15C20F5DEFEAA34E79919C53EEA3E145CE28q0m9I" TargetMode="External"/><Relationship Id="rId26" Type="http://schemas.openxmlformats.org/officeDocument/2006/relationships/hyperlink" Target="consultantplus://offline/ref%3D751F3AB6719E859034A453BD22014648B3332EF26460AB6FDC6150C0g1mEH" TargetMode="External"/><Relationship Id="rId39" Type="http://schemas.openxmlformats.org/officeDocument/2006/relationships/hyperlink" Target="consultantplus://offline/ref=637ABC6F86A47CC48A5826ADE367F929CA876B81CB3D6AC1E41D32B8451895A295B619514F178349X6fBF" TargetMode="External"/><Relationship Id="rId21" Type="http://schemas.openxmlformats.org/officeDocument/2006/relationships/hyperlink" Target="consultantplus://offline/ref=34A7246665CBE3E0E5C2F7B236E05B168EE2BF281DC98CDA8CC165E2814BA030E090E4E8F6125D1645B6E7A2eCF" TargetMode="External"/><Relationship Id="rId34" Type="http://schemas.openxmlformats.org/officeDocument/2006/relationships/hyperlink" Target="consultantplus://offline/ref=637ABC6F86A47CC48A5826ADE367F929CA876B81CB3D6AC1E41D32B8451895A295B619514F178349X6fB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consultantplus://offline/ref%3D7FEDFDC0A46FA91BCF13AD6C094E0D09958C1ED19E20481A05F742426AE3QBI" TargetMode="External"/><Relationship Id="rId55" Type="http://schemas.openxmlformats.org/officeDocument/2006/relationships/hyperlink" Target="consultantplus://offline/ref=A4AC635F73BCAD20851B2956E58FEAAE666A1803100905A73E506B9463829BE37EDBCFE5E1bEFA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ref=637ABC6F86A47CC48A5826ADE367F929CA876B81CB3D6AC1E41D32B8451895A295B619514F178349X6fBF" TargetMode="External"/><Relationship Id="rId29" Type="http://schemas.openxmlformats.org/officeDocument/2006/relationships/hyperlink" Target="consultantplus://offline/ref=637ABC6F86A47CC48A5826ADE367F929CA876B81CB3D6AC1E41D32B8451895A295B619514F178349X6fBF"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consultantplus://offline/ref=12248655C22D418B66C32235EA3AD3C557736E4399B24B6ED2FE0D5B0314FDF56A39AC25EB8EA2F7p4EDM" TargetMode="Externa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637ABC6F86A47CC48A5826ADE367F929CA876B81CB3D6AC1E41D32B8451895A295B619514F178349X6fBF" TargetMode="External"/><Relationship Id="rId32" Type="http://schemas.openxmlformats.org/officeDocument/2006/relationships/hyperlink" Target="http://www.consultant.ru/document/cons_doc_LAW_304231/d1fff908c2d37e4a021fca66e5cb54074d8c66e3/" TargetMode="External"/><Relationship Id="rId37" Type="http://schemas.openxmlformats.org/officeDocument/2006/relationships/hyperlink" Target="http://www.consultant.ru/document/cons_doc_LAW_304236/f7cf276b178652f1dc8307fe08b512a0b53ab1e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consultantplus://offline/ref=637ABC6F86A47CC48A5826ADE367F929CA876B81CB3D6AC1E41D32B8451895A295B619514F178349X6fBF" TargetMode="External"/><Relationship Id="rId53" Type="http://schemas.openxmlformats.org/officeDocument/2006/relationships/hyperlink" Target="consultantplus://offline/ref=12248655C22D418B66C32235EA3AD3C557736E4399B24B6ED2FE0D5B0314FDF56A39AC2CEBp8E8M" TargetMode="External"/><Relationship Id="rId58" Type="http://schemas.openxmlformats.org/officeDocument/2006/relationships/hyperlink" Target="consultantplus://offline/ref=A4AC635F73BCAD20851B2956E58FEAAE666A1803100905A73E506B9463829BE37EDBCFECE4EFDE65b2FB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34A7246665CBE3E0E5C2F7B236E05B168EE2BF281DC98CDA8CC165E2814BA030E090E4E8F6125D1645B6E7A2eCF" TargetMode="External"/><Relationship Id="rId28" Type="http://schemas.openxmlformats.org/officeDocument/2006/relationships/hyperlink" Target="consultantplus://offline/ref=34A7246665CBE3E0E5C2F7B236E05B168EE2BF281DC98CDA8CC165E2814BA030E090E4E8F6125D1645B6E7A2eCF" TargetMode="External"/><Relationship Id="rId36" Type="http://schemas.openxmlformats.org/officeDocument/2006/relationships/hyperlink" Target="consultantplus://offline/ref=637ABC6F86A47CC48A5826ADE367F929CA876B81CB3D6AC1E41D32B8451895A295B619514F178349X6fBF" TargetMode="External"/><Relationship Id="rId49" Type="http://schemas.openxmlformats.org/officeDocument/2006/relationships/hyperlink" Target="http://integral.ru/download/literatur/2.1.6.1032-01.pdf" TargetMode="External"/><Relationship Id="rId57" Type="http://schemas.openxmlformats.org/officeDocument/2006/relationships/hyperlink" Target="consultantplus://offline/ref=A4AC635F73BCAD20851B2956E58FEAAE666A1803100905A73E506B9463829BE37EDBCFECE4EFDE65b2F9M" TargetMode="External"/><Relationship Id="rId61" Type="http://schemas.openxmlformats.org/officeDocument/2006/relationships/hyperlink" Target="http://www.consultant.ru/document/cons_doc_LAW_304236/f7cf276b178652f1dc8307fe08b512a0b53ab1ef/"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C4C7C979953EEA3E145CE28q0m9I" TargetMode="External"/><Relationship Id="rId31" Type="http://schemas.openxmlformats.org/officeDocument/2006/relationships/hyperlink" Target="consultantplus://offline/ref=637ABC6F86A47CC48A5826ADE367F929CA876B81CB3D6AC1E41D32B8451895A295B619514F178349X6fBF" TargetMode="External"/><Relationship Id="rId44" Type="http://schemas.openxmlformats.org/officeDocument/2006/relationships/hyperlink" Target="consultantplus://offline/ref=34A7246665CBE3E0E5C2E9BF208C011F8BEFE22010CD868AD39E3EBFD642AA67A7DFBDAAB21F5A17A4e2F" TargetMode="External"/><Relationship Id="rId52" Type="http://schemas.openxmlformats.org/officeDocument/2006/relationships/hyperlink" Target="consultantplus://offline/ref%3D8F10C197789C5638EBA2C46468E38E41A310FAD3B3766083C2CED6FFuCX2I" TargetMode="External"/><Relationship Id="rId60" Type="http://schemas.openxmlformats.org/officeDocument/2006/relationships/hyperlink" Target="http://www.consultant.ru/document/cons_doc_LAW_304231/d1fff908c2d37e4a021fca66e5cb54074d8c66e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637ABC6F86A47CC48A5826ADE367F929CA876B81CB3D6AC1E41D32B8451895A295B619514F178349X6fBF" TargetMode="External"/><Relationship Id="rId27" Type="http://schemas.openxmlformats.org/officeDocument/2006/relationships/hyperlink" Target="consultantplus://offline/ref=637ABC6F86A47CC48A5826ADE367F929CA876B81CB3D6AC1E41D32B8451895A295B619514F178349X6fBF" TargetMode="External"/><Relationship Id="rId30" Type="http://schemas.openxmlformats.org/officeDocument/2006/relationships/hyperlink" Target="consultantplus://offline/ref=34A7246665CBE3E0E5C2F7B236E05B168EE2BF281DC98CDA8CC165E2814BA030E090E4E8F6125D1645B6E7A2eCF" TargetMode="External"/><Relationship Id="rId35" Type="http://schemas.openxmlformats.org/officeDocument/2006/relationships/hyperlink" Target="consultantplus://offline/ref=34A7246665CBE3E0E5C2F7B236E05B168EE2BF281DC98CDA8CC165E2814BA030E090E4E8F6125D1645B6E7A2eCF" TargetMode="External"/><Relationship Id="rId43" Type="http://schemas.openxmlformats.org/officeDocument/2006/relationships/hyperlink" Target="consultantplus://offline/ref=34A7246665CBE3E0E5C2E9BF208C011F8BEFE22010CD868AD39E3EBFD642AA67A7DFBDAAB21F5C17A4e1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A4AC635F73BCAD20851B2956E58FEAAE666A1803100905A73E506B9463829BE37EDBCFE5E1bEF7M"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3DABB6B23E8C7CD01E755F9B7812A2C30D77D48305A68092F91766B5889ACC050C78B22C2EJAC4M"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34A7246665CBE3E0E5C2F7B236E05B168EE2BF281DC98CDA8CC165E2814BA030E090E4E8F6125D1645B6E7A2eCF" TargetMode="External"/><Relationship Id="rId33" Type="http://schemas.openxmlformats.org/officeDocument/2006/relationships/hyperlink" Target="consultantplus://offline/ref=34A7246665CBE3E0E5C2F7B236E05B168EE2BF281DC98CDA8CC165E2814BA030E090E4E8F6125D1645B6E7A2eCF" TargetMode="External"/><Relationship Id="rId38" Type="http://schemas.openxmlformats.org/officeDocument/2006/relationships/image" Target="media/image2.png"/><Relationship Id="rId46" Type="http://schemas.openxmlformats.org/officeDocument/2006/relationships/hyperlink" Target="consultantplus://offline/ref=637ABC6F86A47CC48A5826ADE367F929CA876B81CB3D6AC1E41D32B8451895A295B619514F178349X6fBF" TargetMode="External"/><Relationship Id="rId59" Type="http://schemas.openxmlformats.org/officeDocument/2006/relationships/hyperlink" Target="consultantplus://offline/ref=A4AC635F73BCAD20851B2956E58FEAAE666A1803100905A73E506B9463829BE37EDBCFECE4EFDE65b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8EF00-6401-412D-8453-75A5D22F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2749</TotalTime>
  <Pages>132</Pages>
  <Words>45984</Words>
  <Characters>262111</Characters>
  <Application>Microsoft Office Word</Application>
  <DocSecurity>0</DocSecurity>
  <Lines>2184</Lines>
  <Paragraphs>614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289</cp:revision>
  <cp:lastPrinted>2017-09-15T13:32:00Z</cp:lastPrinted>
  <dcterms:created xsi:type="dcterms:W3CDTF">2017-10-17T06:07:00Z</dcterms:created>
  <dcterms:modified xsi:type="dcterms:W3CDTF">2018-09-24T07:06:00Z</dcterms:modified>
</cp:coreProperties>
</file>