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31849">
        <w:rPr>
          <w:b/>
          <w:sz w:val="28"/>
          <w:szCs w:val="28"/>
          <w:u w:val="single"/>
        </w:rPr>
        <w:t>0</w:t>
      </w:r>
      <w:r w:rsidR="00B127DC">
        <w:rPr>
          <w:b/>
          <w:sz w:val="28"/>
          <w:szCs w:val="28"/>
          <w:u w:val="single"/>
        </w:rPr>
        <w:t xml:space="preserve">6 </w:t>
      </w:r>
      <w:r w:rsidR="00231849">
        <w:rPr>
          <w:b/>
          <w:sz w:val="28"/>
          <w:szCs w:val="28"/>
          <w:u w:val="single"/>
        </w:rPr>
        <w:t>апреля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231849">
        <w:rPr>
          <w:b/>
          <w:sz w:val="28"/>
          <w:szCs w:val="28"/>
          <w:u w:val="single"/>
        </w:rPr>
        <w:t>1</w:t>
      </w:r>
      <w:r w:rsidR="00B127DC">
        <w:rPr>
          <w:b/>
          <w:sz w:val="28"/>
          <w:szCs w:val="28"/>
          <w:u w:val="single"/>
        </w:rPr>
        <w:t>4</w:t>
      </w:r>
      <w:r w:rsidR="00097C63">
        <w:rPr>
          <w:b/>
          <w:sz w:val="28"/>
          <w:szCs w:val="28"/>
          <w:u w:val="single"/>
        </w:rPr>
        <w:t>1</w:t>
      </w:r>
    </w:p>
    <w:p w:rsidR="00A66075" w:rsidRDefault="00A66075" w:rsidP="00231849">
      <w:pPr>
        <w:ind w:firstLine="709"/>
        <w:jc w:val="both"/>
        <w:rPr>
          <w:sz w:val="28"/>
          <w:szCs w:val="28"/>
        </w:rPr>
      </w:pPr>
    </w:p>
    <w:p w:rsidR="00212FEC" w:rsidRPr="00EF46BC" w:rsidRDefault="00212FEC" w:rsidP="00FA5BB0">
      <w:pPr>
        <w:ind w:right="5671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EF4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  <w:r w:rsidRPr="00EF46B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муниципальной программы</w:t>
      </w:r>
      <w:r w:rsidRPr="00EF46B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Комплексное развитие систем коммунальной инфраструктуры                 г. Сычевка </w:t>
      </w:r>
      <w:r w:rsidR="002835D6">
        <w:rPr>
          <w:sz w:val="28"/>
          <w:szCs w:val="28"/>
        </w:rPr>
        <w:t>муниципального образования «</w:t>
      </w:r>
      <w:proofErr w:type="spellStart"/>
      <w:r w:rsidR="002835D6">
        <w:rPr>
          <w:sz w:val="28"/>
          <w:szCs w:val="28"/>
        </w:rPr>
        <w:t>Сычевский</w:t>
      </w:r>
      <w:proofErr w:type="spellEnd"/>
      <w:r w:rsidR="002835D6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 Смоленской области</w:t>
      </w:r>
    </w:p>
    <w:p w:rsidR="00212FEC" w:rsidRDefault="00212FEC" w:rsidP="00212FEC">
      <w:pPr>
        <w:ind w:right="5671"/>
        <w:jc w:val="both"/>
        <w:rPr>
          <w:sz w:val="28"/>
          <w:szCs w:val="28"/>
        </w:rPr>
      </w:pPr>
    </w:p>
    <w:p w:rsidR="00212FEC" w:rsidRPr="00EF46BC" w:rsidRDefault="00212FEC" w:rsidP="00212FEC">
      <w:pPr>
        <w:ind w:right="5708"/>
        <w:jc w:val="both"/>
        <w:rPr>
          <w:sz w:val="28"/>
          <w:szCs w:val="28"/>
        </w:rPr>
      </w:pPr>
    </w:p>
    <w:p w:rsidR="00212FEC" w:rsidRPr="00354C3B" w:rsidRDefault="00212FEC" w:rsidP="00212FEC">
      <w:pPr>
        <w:ind w:firstLine="709"/>
        <w:jc w:val="both"/>
        <w:rPr>
          <w:sz w:val="28"/>
          <w:szCs w:val="28"/>
        </w:rPr>
      </w:pPr>
      <w:r w:rsidRPr="00630F16">
        <w:rPr>
          <w:sz w:val="28"/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30F16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30.12.2025 года №958,</w:t>
      </w:r>
      <w:r w:rsidRPr="00354C3B">
        <w:rPr>
          <w:sz w:val="28"/>
          <w:szCs w:val="28"/>
        </w:rPr>
        <w:t xml:space="preserve">  </w:t>
      </w:r>
    </w:p>
    <w:p w:rsidR="00212FEC" w:rsidRPr="00354C3B" w:rsidRDefault="00212FEC" w:rsidP="00212FEC">
      <w:pPr>
        <w:pStyle w:val="af4"/>
        <w:ind w:left="0"/>
        <w:rPr>
          <w:szCs w:val="28"/>
        </w:rPr>
      </w:pPr>
    </w:p>
    <w:p w:rsidR="00212FEC" w:rsidRPr="00510997" w:rsidRDefault="00212FEC" w:rsidP="00212FEC">
      <w:pPr>
        <w:ind w:firstLine="709"/>
        <w:jc w:val="both"/>
        <w:rPr>
          <w:sz w:val="28"/>
          <w:szCs w:val="28"/>
        </w:rPr>
      </w:pPr>
      <w:r w:rsidRPr="00510997">
        <w:rPr>
          <w:sz w:val="28"/>
          <w:szCs w:val="28"/>
        </w:rPr>
        <w:t>Администрация муниципального образования «</w:t>
      </w:r>
      <w:proofErr w:type="spellStart"/>
      <w:r w:rsidRPr="00510997">
        <w:rPr>
          <w:sz w:val="28"/>
          <w:szCs w:val="28"/>
        </w:rPr>
        <w:t>Сычевский</w:t>
      </w:r>
      <w:proofErr w:type="spellEnd"/>
      <w:r w:rsidRPr="00510997">
        <w:rPr>
          <w:sz w:val="28"/>
          <w:szCs w:val="28"/>
        </w:rPr>
        <w:t xml:space="preserve"> муниципальный округ» Смоленской области </w:t>
      </w:r>
    </w:p>
    <w:p w:rsidR="00212FEC" w:rsidRPr="00510997" w:rsidRDefault="00212FEC" w:rsidP="00212FEC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510997">
        <w:rPr>
          <w:sz w:val="28"/>
          <w:szCs w:val="28"/>
        </w:rPr>
        <w:t>п</w:t>
      </w:r>
      <w:proofErr w:type="spellEnd"/>
      <w:proofErr w:type="gramEnd"/>
      <w:r w:rsidRPr="00510997">
        <w:rPr>
          <w:sz w:val="28"/>
          <w:szCs w:val="28"/>
        </w:rPr>
        <w:t xml:space="preserve"> о с т а </w:t>
      </w:r>
      <w:proofErr w:type="spellStart"/>
      <w:r w:rsidRPr="00510997">
        <w:rPr>
          <w:sz w:val="28"/>
          <w:szCs w:val="28"/>
        </w:rPr>
        <w:t>н</w:t>
      </w:r>
      <w:proofErr w:type="spellEnd"/>
      <w:r w:rsidRPr="00510997">
        <w:rPr>
          <w:sz w:val="28"/>
          <w:szCs w:val="28"/>
        </w:rPr>
        <w:t xml:space="preserve"> о в л я е т: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</w:p>
    <w:p w:rsidR="00212FEC" w:rsidRDefault="00212FEC" w:rsidP="00212FEC">
      <w:pPr>
        <w:pStyle w:val="af4"/>
        <w:widowControl w:val="0"/>
        <w:numPr>
          <w:ilvl w:val="0"/>
          <w:numId w:val="5"/>
        </w:numPr>
        <w:ind w:left="0" w:firstLine="709"/>
        <w:rPr>
          <w:szCs w:val="28"/>
        </w:rPr>
      </w:pPr>
      <w:r w:rsidRPr="00D72978">
        <w:rPr>
          <w:szCs w:val="28"/>
        </w:rPr>
        <w:t>Утвердить муниципальную программу</w:t>
      </w:r>
      <w:r>
        <w:rPr>
          <w:szCs w:val="28"/>
        </w:rPr>
        <w:t xml:space="preserve"> «Комплексное развитие систем коммунальной инфраструктуры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Сычевка </w:t>
      </w:r>
      <w:r w:rsidR="002835D6">
        <w:rPr>
          <w:szCs w:val="28"/>
        </w:rPr>
        <w:t xml:space="preserve">муниципального образования </w:t>
      </w:r>
      <w:r>
        <w:rPr>
          <w:szCs w:val="28"/>
        </w:rPr>
        <w:t>«</w:t>
      </w:r>
      <w:proofErr w:type="spellStart"/>
      <w:r>
        <w:rPr>
          <w:szCs w:val="28"/>
        </w:rPr>
        <w:t>Сычевск</w:t>
      </w:r>
      <w:r w:rsidR="002835D6">
        <w:rPr>
          <w:szCs w:val="28"/>
        </w:rPr>
        <w:t>ий</w:t>
      </w:r>
      <w:proofErr w:type="spellEnd"/>
      <w:r>
        <w:rPr>
          <w:szCs w:val="28"/>
        </w:rPr>
        <w:t xml:space="preserve"> муниципаль</w:t>
      </w:r>
      <w:r w:rsidR="004C27CB">
        <w:rPr>
          <w:szCs w:val="28"/>
        </w:rPr>
        <w:t>н</w:t>
      </w:r>
      <w:r w:rsidR="002835D6">
        <w:rPr>
          <w:szCs w:val="28"/>
        </w:rPr>
        <w:t>ый округ</w:t>
      </w:r>
      <w:r w:rsidR="004C27CB">
        <w:rPr>
          <w:szCs w:val="28"/>
        </w:rPr>
        <w:t>» Смоленской области»</w:t>
      </w:r>
      <w:r>
        <w:rPr>
          <w:szCs w:val="28"/>
        </w:rPr>
        <w:t xml:space="preserve"> согласно приложению.</w:t>
      </w:r>
    </w:p>
    <w:p w:rsidR="00212FEC" w:rsidRDefault="00212FEC" w:rsidP="00212FEC">
      <w:pPr>
        <w:pStyle w:val="af4"/>
        <w:widowControl w:val="0"/>
        <w:numPr>
          <w:ilvl w:val="0"/>
          <w:numId w:val="5"/>
        </w:numPr>
        <w:ind w:left="0" w:firstLine="709"/>
        <w:rPr>
          <w:szCs w:val="28"/>
        </w:rPr>
      </w:pPr>
      <w:r>
        <w:rPr>
          <w:szCs w:val="28"/>
        </w:rPr>
        <w:t>Признать утратившими силу: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EF46BC">
        <w:rPr>
          <w:szCs w:val="28"/>
        </w:rPr>
        <w:t>пост</w:t>
      </w:r>
      <w:r>
        <w:rPr>
          <w:szCs w:val="28"/>
        </w:rPr>
        <w:t>ановление</w:t>
      </w:r>
      <w:r w:rsidRPr="00EF46BC">
        <w:rPr>
          <w:szCs w:val="28"/>
        </w:rPr>
        <w:t xml:space="preserve"> Администрации муниципального образования «</w:t>
      </w:r>
      <w:proofErr w:type="spellStart"/>
      <w:r w:rsidRPr="00EF46BC">
        <w:rPr>
          <w:szCs w:val="28"/>
        </w:rPr>
        <w:t>Сычевский</w:t>
      </w:r>
      <w:proofErr w:type="spellEnd"/>
      <w:r w:rsidRPr="00EF46BC">
        <w:rPr>
          <w:szCs w:val="28"/>
        </w:rPr>
        <w:t xml:space="preserve"> район» Смоленской области от 28.12.2016 года № 610</w:t>
      </w:r>
      <w:r>
        <w:rPr>
          <w:szCs w:val="28"/>
        </w:rPr>
        <w:t xml:space="preserve"> </w:t>
      </w:r>
      <w:r w:rsidR="00FA5BB0">
        <w:rPr>
          <w:szCs w:val="28"/>
        </w:rPr>
        <w:t xml:space="preserve">                         </w:t>
      </w:r>
      <w:r>
        <w:rPr>
          <w:szCs w:val="28"/>
        </w:rPr>
        <w:t xml:space="preserve">«Об утверждении муниципальной программы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 на 2017-2020 годы»;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lastRenderedPageBreak/>
        <w:t>- постановление</w:t>
      </w:r>
      <w:r w:rsidRPr="00EF46BC">
        <w:rPr>
          <w:szCs w:val="28"/>
        </w:rPr>
        <w:t xml:space="preserve"> Администрации муниципального образования «</w:t>
      </w:r>
      <w:proofErr w:type="spellStart"/>
      <w:r w:rsidRPr="00EF46BC">
        <w:rPr>
          <w:szCs w:val="28"/>
        </w:rPr>
        <w:t>Сычевский</w:t>
      </w:r>
      <w:proofErr w:type="spellEnd"/>
      <w:r w:rsidRPr="00EF46BC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29.05.2017 года №258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 </w:t>
      </w:r>
      <w:r w:rsidR="00FA5BB0">
        <w:rPr>
          <w:szCs w:val="28"/>
        </w:rPr>
        <w:t xml:space="preserve">              </w:t>
      </w:r>
      <w:r>
        <w:rPr>
          <w:szCs w:val="28"/>
        </w:rPr>
        <w:t>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</w:t>
      </w:r>
      <w:r w:rsidR="00FA5BB0">
        <w:rPr>
          <w:szCs w:val="28"/>
        </w:rPr>
        <w:t xml:space="preserve">                        </w:t>
      </w:r>
      <w:r>
        <w:rPr>
          <w:szCs w:val="28"/>
        </w:rPr>
        <w:t>от 28.12.2016 года №610»;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proofErr w:type="gramStart"/>
      <w:r>
        <w:rPr>
          <w:szCs w:val="28"/>
        </w:rPr>
        <w:t>-</w:t>
      </w:r>
      <w:r w:rsidRPr="00927C58">
        <w:rPr>
          <w:szCs w:val="28"/>
        </w:rPr>
        <w:t xml:space="preserve"> </w:t>
      </w:r>
      <w:r>
        <w:rPr>
          <w:szCs w:val="28"/>
        </w:rPr>
        <w:t>постановление</w:t>
      </w:r>
      <w:r w:rsidRPr="00EF46BC">
        <w:rPr>
          <w:szCs w:val="28"/>
        </w:rPr>
        <w:t xml:space="preserve"> Администрации муниципального образования «</w:t>
      </w:r>
      <w:proofErr w:type="spellStart"/>
      <w:r w:rsidRPr="00EF46BC">
        <w:rPr>
          <w:szCs w:val="28"/>
        </w:rPr>
        <w:t>Сычевский</w:t>
      </w:r>
      <w:proofErr w:type="spellEnd"/>
      <w:r w:rsidRPr="00EF46BC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16.02.2018 года № 80 </w:t>
      </w:r>
      <w:r w:rsidRPr="00927C58">
        <w:rPr>
          <w:szCs w:val="28"/>
        </w:rPr>
        <w:t xml:space="preserve"> </w:t>
      </w:r>
      <w:r>
        <w:rPr>
          <w:szCs w:val="28"/>
        </w:rPr>
        <w:t xml:space="preserve">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 </w:t>
      </w:r>
      <w:r w:rsidR="00FA5BB0">
        <w:rPr>
          <w:szCs w:val="28"/>
        </w:rPr>
        <w:t xml:space="preserve">              </w:t>
      </w:r>
      <w:r>
        <w:rPr>
          <w:szCs w:val="28"/>
        </w:rPr>
        <w:t>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</w:t>
      </w:r>
      <w:r w:rsidR="00FA5BB0">
        <w:rPr>
          <w:szCs w:val="28"/>
        </w:rPr>
        <w:t xml:space="preserve">                      </w:t>
      </w:r>
      <w:r>
        <w:rPr>
          <w:szCs w:val="28"/>
        </w:rPr>
        <w:t>от 28.12.2016 года №610 (в редакции постановлени</w:t>
      </w:r>
      <w:r w:rsidR="00FA5BB0">
        <w:rPr>
          <w:szCs w:val="28"/>
        </w:rPr>
        <w:t>я</w:t>
      </w:r>
      <w:r>
        <w:rPr>
          <w:szCs w:val="28"/>
        </w:rPr>
        <w:t xml:space="preserve">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Смоленской области</w:t>
      </w:r>
      <w:proofErr w:type="gramEnd"/>
      <w:r>
        <w:rPr>
          <w:szCs w:val="28"/>
        </w:rPr>
        <w:t xml:space="preserve"> </w:t>
      </w:r>
      <w:r w:rsidR="00FA5BB0">
        <w:rPr>
          <w:szCs w:val="28"/>
        </w:rPr>
        <w:t xml:space="preserve">                        </w:t>
      </w:r>
      <w:r>
        <w:rPr>
          <w:szCs w:val="28"/>
        </w:rPr>
        <w:t>от 29.05.2017 года №258)»;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proofErr w:type="gramStart"/>
      <w:r>
        <w:rPr>
          <w:szCs w:val="28"/>
        </w:rPr>
        <w:t>- постановление</w:t>
      </w:r>
      <w:r w:rsidRPr="00EF46BC">
        <w:rPr>
          <w:szCs w:val="28"/>
        </w:rPr>
        <w:t xml:space="preserve"> Администрации муниципального образования «</w:t>
      </w:r>
      <w:proofErr w:type="spellStart"/>
      <w:r w:rsidRPr="00EF46BC">
        <w:rPr>
          <w:szCs w:val="28"/>
        </w:rPr>
        <w:t>Сычевский</w:t>
      </w:r>
      <w:proofErr w:type="spellEnd"/>
      <w:r w:rsidRPr="00EF46BC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27.07.2018 года № 315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 </w:t>
      </w:r>
      <w:r w:rsidR="00FA5BB0">
        <w:rPr>
          <w:szCs w:val="28"/>
        </w:rPr>
        <w:t xml:space="preserve">              </w:t>
      </w:r>
      <w:r>
        <w:rPr>
          <w:szCs w:val="28"/>
        </w:rPr>
        <w:t>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</w:t>
      </w:r>
      <w:r w:rsidR="00FA5BB0">
        <w:rPr>
          <w:szCs w:val="28"/>
        </w:rPr>
        <w:t xml:space="preserve">                      </w:t>
      </w:r>
      <w:r>
        <w:rPr>
          <w:szCs w:val="28"/>
        </w:rPr>
        <w:t>от 28.12.2016 года №610 (в редакции постановлени</w:t>
      </w:r>
      <w:r w:rsidR="00FA5BB0">
        <w:rPr>
          <w:szCs w:val="28"/>
        </w:rPr>
        <w:t>й</w:t>
      </w:r>
      <w:r>
        <w:rPr>
          <w:szCs w:val="28"/>
        </w:rPr>
        <w:t xml:space="preserve">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Смоленской области</w:t>
      </w:r>
      <w:proofErr w:type="gramEnd"/>
      <w:r>
        <w:rPr>
          <w:szCs w:val="28"/>
        </w:rPr>
        <w:t xml:space="preserve"> </w:t>
      </w:r>
      <w:r w:rsidR="00FA5BB0">
        <w:rPr>
          <w:szCs w:val="28"/>
        </w:rPr>
        <w:t xml:space="preserve">                     </w:t>
      </w:r>
      <w:r>
        <w:rPr>
          <w:szCs w:val="28"/>
        </w:rPr>
        <w:t>от 29.05.2017 года №258, от 16.02.2018 года №80);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proofErr w:type="gramStart"/>
      <w:r>
        <w:rPr>
          <w:szCs w:val="28"/>
        </w:rPr>
        <w:t>- постановление</w:t>
      </w:r>
      <w:r w:rsidRPr="00EF46BC">
        <w:rPr>
          <w:szCs w:val="28"/>
        </w:rPr>
        <w:t xml:space="preserve"> Администрации муниципального образования «</w:t>
      </w:r>
      <w:proofErr w:type="spellStart"/>
      <w:r w:rsidRPr="00EF46BC">
        <w:rPr>
          <w:szCs w:val="28"/>
        </w:rPr>
        <w:t>Сычевский</w:t>
      </w:r>
      <w:proofErr w:type="spellEnd"/>
      <w:r w:rsidRPr="00EF46BC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24.12.2018 года № 598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 </w:t>
      </w:r>
      <w:r w:rsidR="00FA5BB0">
        <w:rPr>
          <w:szCs w:val="28"/>
        </w:rPr>
        <w:t xml:space="preserve">           </w:t>
      </w:r>
      <w:r>
        <w:rPr>
          <w:szCs w:val="28"/>
        </w:rPr>
        <w:t>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</w:t>
      </w:r>
      <w:r w:rsidR="00FA5BB0">
        <w:rPr>
          <w:szCs w:val="28"/>
        </w:rPr>
        <w:t xml:space="preserve">                     </w:t>
      </w:r>
      <w:r>
        <w:rPr>
          <w:szCs w:val="28"/>
        </w:rPr>
        <w:t>от 28.12.2016 года №610 (в редакции постановлени</w:t>
      </w:r>
      <w:r w:rsidR="00FA5BB0">
        <w:rPr>
          <w:szCs w:val="28"/>
        </w:rPr>
        <w:t>й</w:t>
      </w:r>
      <w:r>
        <w:rPr>
          <w:szCs w:val="28"/>
        </w:rPr>
        <w:t xml:space="preserve">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Смоленской области</w:t>
      </w:r>
      <w:proofErr w:type="gramEnd"/>
      <w:r>
        <w:rPr>
          <w:szCs w:val="28"/>
        </w:rPr>
        <w:t xml:space="preserve"> </w:t>
      </w:r>
      <w:r w:rsidR="00FA5BB0">
        <w:rPr>
          <w:szCs w:val="28"/>
        </w:rPr>
        <w:t xml:space="preserve">                     </w:t>
      </w:r>
      <w:r>
        <w:rPr>
          <w:szCs w:val="28"/>
        </w:rPr>
        <w:t>от 29.05.2017 года №258, от 16.02.2018 года №80, от 27.07.2018 года №315);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proofErr w:type="gramStart"/>
      <w:r>
        <w:rPr>
          <w:szCs w:val="28"/>
        </w:rPr>
        <w:t>- постановление</w:t>
      </w:r>
      <w:r w:rsidRPr="00EF46BC">
        <w:rPr>
          <w:szCs w:val="28"/>
        </w:rPr>
        <w:t xml:space="preserve"> Администрации муниципального образования «</w:t>
      </w:r>
      <w:proofErr w:type="spellStart"/>
      <w:r w:rsidRPr="00EF46BC">
        <w:rPr>
          <w:szCs w:val="28"/>
        </w:rPr>
        <w:t>Сычевский</w:t>
      </w:r>
      <w:proofErr w:type="spellEnd"/>
      <w:r w:rsidRPr="00EF46BC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</w:t>
      </w:r>
      <w:r w:rsidRPr="00927C58">
        <w:rPr>
          <w:szCs w:val="28"/>
        </w:rPr>
        <w:t>12.02.2020 года № 90</w:t>
      </w:r>
      <w:r>
        <w:rPr>
          <w:szCs w:val="28"/>
        </w:rPr>
        <w:t xml:space="preserve">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 </w:t>
      </w:r>
      <w:r w:rsidR="00FA5BB0">
        <w:rPr>
          <w:szCs w:val="28"/>
        </w:rPr>
        <w:t xml:space="preserve">              </w:t>
      </w:r>
      <w:r>
        <w:rPr>
          <w:szCs w:val="28"/>
        </w:rPr>
        <w:t>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</w:t>
      </w:r>
      <w:r w:rsidR="00FA5BB0">
        <w:rPr>
          <w:szCs w:val="28"/>
        </w:rPr>
        <w:t xml:space="preserve">                       </w:t>
      </w:r>
      <w:r>
        <w:rPr>
          <w:szCs w:val="28"/>
        </w:rPr>
        <w:lastRenderedPageBreak/>
        <w:t>от 28.12.2016 года №610 (в редакции постановлени</w:t>
      </w:r>
      <w:r w:rsidR="00FA5BB0">
        <w:rPr>
          <w:szCs w:val="28"/>
        </w:rPr>
        <w:t>й</w:t>
      </w:r>
      <w:r>
        <w:rPr>
          <w:szCs w:val="28"/>
        </w:rPr>
        <w:t xml:space="preserve">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район» Смоленской области</w:t>
      </w:r>
      <w:proofErr w:type="gramEnd"/>
      <w:r>
        <w:rPr>
          <w:szCs w:val="28"/>
        </w:rPr>
        <w:t xml:space="preserve"> </w:t>
      </w:r>
      <w:r w:rsidR="00FA5BB0">
        <w:rPr>
          <w:szCs w:val="28"/>
        </w:rPr>
        <w:t xml:space="preserve">                      </w:t>
      </w:r>
      <w:r>
        <w:rPr>
          <w:szCs w:val="28"/>
        </w:rPr>
        <w:t xml:space="preserve">от 29.05.2017 года №258, от 16.02.2018 года №80, от 27.07.2018 года №315, </w:t>
      </w:r>
      <w:r w:rsidR="00FA5BB0">
        <w:rPr>
          <w:szCs w:val="28"/>
        </w:rPr>
        <w:t xml:space="preserve">              </w:t>
      </w:r>
      <w:r>
        <w:rPr>
          <w:szCs w:val="28"/>
        </w:rPr>
        <w:t>от 24.12.2018 года №598);</w:t>
      </w:r>
    </w:p>
    <w:p w:rsidR="00FA5BB0" w:rsidRDefault="00212FEC" w:rsidP="00FA5BB0">
      <w:pPr>
        <w:pStyle w:val="af4"/>
        <w:widowControl w:val="0"/>
        <w:ind w:left="0"/>
        <w:rPr>
          <w:szCs w:val="28"/>
        </w:rPr>
      </w:pPr>
      <w:r w:rsidRPr="00670473">
        <w:rPr>
          <w:szCs w:val="28"/>
        </w:rPr>
        <w:t xml:space="preserve"> </w:t>
      </w:r>
      <w:proofErr w:type="gramStart"/>
      <w:r w:rsidRPr="00670473">
        <w:rPr>
          <w:szCs w:val="28"/>
        </w:rPr>
        <w:t>- 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 от 26.02.2020 года №115</w:t>
      </w:r>
      <w:r>
        <w:rPr>
          <w:szCs w:val="28"/>
        </w:rPr>
        <w:t xml:space="preserve"> </w:t>
      </w:r>
      <w:r w:rsidR="00FA5BB0">
        <w:rPr>
          <w:szCs w:val="28"/>
        </w:rPr>
        <w:t xml:space="preserve">«О внесении изменений в муниципальную программу «Создание условий  для обеспечения качественными  услугами  жилищно-коммунального  хозяйства населения </w:t>
      </w:r>
      <w:proofErr w:type="spellStart"/>
      <w:r w:rsidR="00FA5BB0">
        <w:rPr>
          <w:szCs w:val="28"/>
        </w:rPr>
        <w:t>Сычевского</w:t>
      </w:r>
      <w:proofErr w:type="spellEnd"/>
      <w:r w:rsidR="00FA5BB0">
        <w:rPr>
          <w:szCs w:val="28"/>
        </w:rPr>
        <w:t xml:space="preserve">  городского поселения </w:t>
      </w:r>
      <w:proofErr w:type="spellStart"/>
      <w:r w:rsidR="00FA5BB0">
        <w:rPr>
          <w:szCs w:val="28"/>
        </w:rPr>
        <w:t>Сычевского</w:t>
      </w:r>
      <w:proofErr w:type="spellEnd"/>
      <w:r w:rsidR="00FA5BB0">
        <w:rPr>
          <w:szCs w:val="28"/>
        </w:rPr>
        <w:t xml:space="preserve">  района Смоленской области», утвержденную постановлением Администрации муниципального образования «</w:t>
      </w:r>
      <w:proofErr w:type="spellStart"/>
      <w:r w:rsidR="00FA5BB0">
        <w:rPr>
          <w:szCs w:val="28"/>
        </w:rPr>
        <w:t>Сычевский</w:t>
      </w:r>
      <w:proofErr w:type="spellEnd"/>
      <w:r w:rsidR="00FA5BB0">
        <w:rPr>
          <w:szCs w:val="28"/>
        </w:rPr>
        <w:t xml:space="preserve"> район» Смоленской области от 28.12.2016 года № 610                    (в редакции постановлений Администрации муниципального образования «</w:t>
      </w:r>
      <w:proofErr w:type="spellStart"/>
      <w:r w:rsidR="00FA5BB0">
        <w:rPr>
          <w:szCs w:val="28"/>
        </w:rPr>
        <w:t>Сычевский</w:t>
      </w:r>
      <w:proofErr w:type="spellEnd"/>
      <w:r w:rsidR="00FA5BB0">
        <w:rPr>
          <w:szCs w:val="28"/>
        </w:rPr>
        <w:t xml:space="preserve"> район» Смоленской области от 29.05.2017 года</w:t>
      </w:r>
      <w:proofErr w:type="gramEnd"/>
      <w:r w:rsidR="00FA5BB0">
        <w:rPr>
          <w:szCs w:val="28"/>
        </w:rPr>
        <w:t xml:space="preserve"> №</w:t>
      </w:r>
      <w:proofErr w:type="gramStart"/>
      <w:r w:rsidR="00FA5BB0">
        <w:rPr>
          <w:szCs w:val="28"/>
        </w:rPr>
        <w:t>258,                             от 16.02.2018 года №80, от 27.07.2018 года №315, от 24.12.2018 года №598,                                    от 12.02.2020 года №90)»;</w:t>
      </w:r>
      <w:proofErr w:type="gramEnd"/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10.07.2020 года № 336</w:t>
      </w:r>
      <w:r w:rsidRPr="00670473">
        <w:rPr>
          <w:szCs w:val="28"/>
        </w:rPr>
        <w:t xml:space="preserve"> </w:t>
      </w:r>
      <w:r>
        <w:rPr>
          <w:szCs w:val="28"/>
        </w:rPr>
        <w:t xml:space="preserve">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от 28.12.2016 года №610»;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03.11.2020 года №576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от 28.12.2016 года №610»;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27.11.2020 года №635</w:t>
      </w:r>
      <w:r w:rsidRPr="0017627F">
        <w:rPr>
          <w:szCs w:val="28"/>
        </w:rPr>
        <w:t xml:space="preserve"> </w:t>
      </w:r>
      <w:r>
        <w:rPr>
          <w:szCs w:val="28"/>
        </w:rPr>
        <w:t xml:space="preserve">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от 28.12.2016 года №610»;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17627F">
        <w:rPr>
          <w:szCs w:val="28"/>
        </w:rPr>
        <w:t>от 30.12</w:t>
      </w:r>
      <w:r>
        <w:rPr>
          <w:szCs w:val="28"/>
        </w:rPr>
        <w:t xml:space="preserve">.2020 года №717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от 28.12.2016 года №610»;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11.02.2021 года № 62 «О внесении </w:t>
      </w:r>
      <w:r>
        <w:rPr>
          <w:szCs w:val="28"/>
        </w:rPr>
        <w:lastRenderedPageBreak/>
        <w:t xml:space="preserve">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Сычевкий</w:t>
      </w:r>
      <w:proofErr w:type="spellEnd"/>
      <w:r>
        <w:rPr>
          <w:szCs w:val="28"/>
        </w:rPr>
        <w:t xml:space="preserve"> район» Смоленской области от 28.12.2016 года №610»;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13.04.2022 года №230 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</w:t>
      </w:r>
      <w:r w:rsidR="00FA5BB0">
        <w:rPr>
          <w:szCs w:val="28"/>
        </w:rPr>
        <w:t>ого</w:t>
      </w:r>
      <w:proofErr w:type="spellEnd"/>
      <w:r w:rsidR="00FA5BB0">
        <w:rPr>
          <w:szCs w:val="28"/>
        </w:rPr>
        <w:t xml:space="preserve"> района  Смоленской области»</w:t>
      </w:r>
      <w:r>
        <w:rPr>
          <w:szCs w:val="28"/>
        </w:rPr>
        <w:t>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30.12.2022 года №794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</w:t>
      </w:r>
      <w:r w:rsidR="00FA5BB0">
        <w:rPr>
          <w:szCs w:val="28"/>
        </w:rPr>
        <w:t>ого</w:t>
      </w:r>
      <w:proofErr w:type="spellEnd"/>
      <w:r w:rsidR="00FA5BB0">
        <w:rPr>
          <w:szCs w:val="28"/>
        </w:rPr>
        <w:t xml:space="preserve"> района  Смоленской области»</w:t>
      </w:r>
      <w:r>
        <w:rPr>
          <w:szCs w:val="28"/>
        </w:rPr>
        <w:t>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17.07.2023 года № 359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</w:t>
      </w:r>
      <w:r w:rsidR="00FA5BB0">
        <w:rPr>
          <w:szCs w:val="28"/>
        </w:rPr>
        <w:t>ого</w:t>
      </w:r>
      <w:proofErr w:type="spellEnd"/>
      <w:r w:rsidR="00FA5BB0">
        <w:rPr>
          <w:szCs w:val="28"/>
        </w:rPr>
        <w:t xml:space="preserve"> района  Смоленской области»</w:t>
      </w:r>
      <w:r>
        <w:rPr>
          <w:szCs w:val="28"/>
        </w:rPr>
        <w:t>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03.10.2023года № 567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 Смоленской о</w:t>
      </w:r>
      <w:r w:rsidR="00FA5BB0">
        <w:rPr>
          <w:szCs w:val="28"/>
        </w:rPr>
        <w:t>бласти»</w:t>
      </w:r>
      <w:r>
        <w:rPr>
          <w:szCs w:val="28"/>
        </w:rPr>
        <w:t>;</w:t>
      </w:r>
    </w:p>
    <w:p w:rsidR="00212FEC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14.12.2023 года №736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</w:t>
      </w:r>
      <w:r w:rsidR="00FA5BB0">
        <w:rPr>
          <w:szCs w:val="28"/>
        </w:rPr>
        <w:t>ого</w:t>
      </w:r>
      <w:proofErr w:type="spellEnd"/>
      <w:r w:rsidR="00FA5BB0">
        <w:rPr>
          <w:szCs w:val="28"/>
        </w:rPr>
        <w:t xml:space="preserve"> района  Смоленской области»</w:t>
      </w:r>
      <w:r>
        <w:rPr>
          <w:szCs w:val="28"/>
        </w:rPr>
        <w:t>;</w:t>
      </w:r>
    </w:p>
    <w:p w:rsidR="00212FEC" w:rsidRPr="005031AF" w:rsidRDefault="00212FEC" w:rsidP="00212FEC">
      <w:pPr>
        <w:pStyle w:val="af4"/>
        <w:widowControl w:val="0"/>
        <w:ind w:left="0"/>
        <w:rPr>
          <w:szCs w:val="28"/>
        </w:rPr>
      </w:pPr>
      <w:r>
        <w:rPr>
          <w:szCs w:val="28"/>
        </w:rPr>
        <w:t xml:space="preserve">- </w:t>
      </w:r>
      <w:r w:rsidRPr="00670473">
        <w:rPr>
          <w:szCs w:val="28"/>
        </w:rPr>
        <w:t>постановление Администрации муниципального образования «</w:t>
      </w:r>
      <w:proofErr w:type="spellStart"/>
      <w:r w:rsidRPr="00670473">
        <w:rPr>
          <w:szCs w:val="28"/>
        </w:rPr>
        <w:t>Сычевский</w:t>
      </w:r>
      <w:proofErr w:type="spellEnd"/>
      <w:r w:rsidRPr="00670473">
        <w:rPr>
          <w:szCs w:val="28"/>
        </w:rPr>
        <w:t xml:space="preserve"> район» Смоленской обл</w:t>
      </w:r>
      <w:r>
        <w:rPr>
          <w:szCs w:val="28"/>
        </w:rPr>
        <w:t xml:space="preserve">асти от 29.02.2024 года №105 «О внесении изменений в муниципальную программу «Создание условий для обеспечения качественными услугами жилищно-коммунального хозяйства населения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</w:t>
      </w:r>
      <w:r w:rsidR="00FA5BB0">
        <w:rPr>
          <w:szCs w:val="28"/>
        </w:rPr>
        <w:t>го</w:t>
      </w:r>
      <w:proofErr w:type="spellEnd"/>
      <w:r w:rsidR="00FA5BB0">
        <w:rPr>
          <w:szCs w:val="28"/>
        </w:rPr>
        <w:t xml:space="preserve"> района  Смоленской области».</w:t>
      </w:r>
    </w:p>
    <w:p w:rsidR="00212FEC" w:rsidRDefault="00E36DDE" w:rsidP="00212FEC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>3</w:t>
      </w:r>
      <w:r w:rsidR="00212FEC" w:rsidRPr="00EF46BC">
        <w:rPr>
          <w:szCs w:val="28"/>
        </w:rPr>
        <w:t>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="00212FEC" w:rsidRPr="00EF46BC">
        <w:rPr>
          <w:szCs w:val="28"/>
        </w:rPr>
        <w:t>Сычевский</w:t>
      </w:r>
      <w:proofErr w:type="spellEnd"/>
      <w:r w:rsidR="00212FEC" w:rsidRPr="00EF46BC">
        <w:rPr>
          <w:szCs w:val="28"/>
        </w:rPr>
        <w:t xml:space="preserve"> </w:t>
      </w:r>
      <w:r w:rsidR="00212FEC">
        <w:rPr>
          <w:szCs w:val="28"/>
        </w:rPr>
        <w:t>муниципальный округ</w:t>
      </w:r>
      <w:r w:rsidR="00212FEC" w:rsidRPr="00EF46BC">
        <w:rPr>
          <w:szCs w:val="28"/>
        </w:rPr>
        <w:t xml:space="preserve">» Смоленской области в информационно-телекоммуникационной сети </w:t>
      </w:r>
      <w:r w:rsidR="00FA5BB0">
        <w:rPr>
          <w:szCs w:val="28"/>
        </w:rPr>
        <w:t>«</w:t>
      </w:r>
      <w:r w:rsidR="00212FEC" w:rsidRPr="00EF46BC">
        <w:rPr>
          <w:szCs w:val="28"/>
        </w:rPr>
        <w:t>Интернет</w:t>
      </w:r>
      <w:r w:rsidR="00FA5BB0">
        <w:rPr>
          <w:szCs w:val="28"/>
        </w:rPr>
        <w:t>»</w:t>
      </w:r>
      <w:r w:rsidR="00212FEC" w:rsidRPr="00EF46BC">
        <w:rPr>
          <w:szCs w:val="28"/>
        </w:rPr>
        <w:t>.</w:t>
      </w:r>
    </w:p>
    <w:p w:rsidR="00212FEC" w:rsidRDefault="00212FEC" w:rsidP="00212FEC">
      <w:pPr>
        <w:pStyle w:val="af4"/>
        <w:tabs>
          <w:tab w:val="left" w:pos="0"/>
        </w:tabs>
        <w:ind w:left="0"/>
      </w:pPr>
    </w:p>
    <w:p w:rsidR="00212FEC" w:rsidRPr="00EF46BC" w:rsidRDefault="00212FEC" w:rsidP="00212FEC">
      <w:pPr>
        <w:pStyle w:val="af4"/>
        <w:tabs>
          <w:tab w:val="left" w:pos="0"/>
        </w:tabs>
        <w:ind w:left="0"/>
      </w:pPr>
    </w:p>
    <w:p w:rsidR="00212FEC" w:rsidRDefault="00212FEC" w:rsidP="00212FE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12FEC" w:rsidRDefault="00212FEC" w:rsidP="00212FEC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12FEC" w:rsidRDefault="00212FEC" w:rsidP="00212FE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12FEC" w:rsidRDefault="00212FEC" w:rsidP="003147A5">
      <w:pPr>
        <w:rPr>
          <w:sz w:val="28"/>
          <w:szCs w:val="28"/>
        </w:rPr>
      </w:pPr>
    </w:p>
    <w:p w:rsidR="00212FEC" w:rsidRPr="00EF46BC" w:rsidRDefault="00212FEC" w:rsidP="00B548D4">
      <w:pPr>
        <w:jc w:val="right"/>
        <w:rPr>
          <w:sz w:val="28"/>
          <w:szCs w:val="28"/>
        </w:rPr>
      </w:pPr>
      <w:r w:rsidRPr="00EF46BC">
        <w:rPr>
          <w:sz w:val="28"/>
          <w:szCs w:val="28"/>
        </w:rPr>
        <w:lastRenderedPageBreak/>
        <w:t>УТВЕРЖДЕНА</w:t>
      </w:r>
    </w:p>
    <w:p w:rsidR="00212FEC" w:rsidRPr="00EF46BC" w:rsidRDefault="00212FEC" w:rsidP="00B548D4">
      <w:pPr>
        <w:jc w:val="right"/>
        <w:rPr>
          <w:sz w:val="28"/>
          <w:szCs w:val="28"/>
        </w:rPr>
      </w:pPr>
      <w:r w:rsidRPr="00EF46BC">
        <w:rPr>
          <w:sz w:val="28"/>
          <w:szCs w:val="28"/>
        </w:rPr>
        <w:t xml:space="preserve">постановлением Администрации </w:t>
      </w:r>
    </w:p>
    <w:p w:rsidR="00212FEC" w:rsidRPr="00EF46BC" w:rsidRDefault="00212FEC" w:rsidP="00B548D4">
      <w:pPr>
        <w:jc w:val="right"/>
        <w:rPr>
          <w:sz w:val="28"/>
          <w:szCs w:val="28"/>
        </w:rPr>
      </w:pPr>
      <w:r w:rsidRPr="00EF46BC">
        <w:rPr>
          <w:sz w:val="28"/>
          <w:szCs w:val="28"/>
        </w:rPr>
        <w:t xml:space="preserve">муниципального образования </w:t>
      </w:r>
    </w:p>
    <w:p w:rsidR="00FA5BB0" w:rsidRDefault="00212FEC" w:rsidP="00B548D4">
      <w:pPr>
        <w:jc w:val="right"/>
        <w:rPr>
          <w:sz w:val="28"/>
          <w:szCs w:val="28"/>
        </w:rPr>
      </w:pPr>
      <w:r w:rsidRPr="00EF46BC">
        <w:rPr>
          <w:sz w:val="28"/>
          <w:szCs w:val="28"/>
        </w:rPr>
        <w:t>«</w:t>
      </w:r>
      <w:proofErr w:type="spellStart"/>
      <w:r w:rsidRPr="00EF46BC">
        <w:rPr>
          <w:sz w:val="28"/>
          <w:szCs w:val="28"/>
        </w:rPr>
        <w:t>Сычевский</w:t>
      </w:r>
      <w:proofErr w:type="spellEnd"/>
      <w:r w:rsidRPr="00EF4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212FEC" w:rsidRPr="00EF46BC" w:rsidRDefault="00212FEC" w:rsidP="00B548D4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EF46BC">
        <w:rPr>
          <w:sz w:val="28"/>
          <w:szCs w:val="28"/>
        </w:rPr>
        <w:t>»</w:t>
      </w:r>
      <w:r w:rsidR="00FA5BB0">
        <w:rPr>
          <w:sz w:val="28"/>
          <w:szCs w:val="28"/>
        </w:rPr>
        <w:t xml:space="preserve"> </w:t>
      </w:r>
      <w:r w:rsidRPr="00EF46BC">
        <w:rPr>
          <w:sz w:val="28"/>
          <w:szCs w:val="28"/>
        </w:rPr>
        <w:t>Смоленской области</w:t>
      </w:r>
    </w:p>
    <w:p w:rsidR="00212FEC" w:rsidRPr="00EF46BC" w:rsidRDefault="00212FEC" w:rsidP="00B548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A5BB0">
        <w:rPr>
          <w:sz w:val="28"/>
          <w:szCs w:val="28"/>
        </w:rPr>
        <w:t xml:space="preserve">                от 06.04</w:t>
      </w:r>
      <w:r>
        <w:rPr>
          <w:sz w:val="28"/>
          <w:szCs w:val="28"/>
        </w:rPr>
        <w:t>.202</w:t>
      </w:r>
      <w:r w:rsidR="00FA5BB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FA5BB0">
        <w:rPr>
          <w:sz w:val="28"/>
          <w:szCs w:val="28"/>
        </w:rPr>
        <w:t>141</w:t>
      </w:r>
      <w:r>
        <w:rPr>
          <w:sz w:val="28"/>
          <w:szCs w:val="28"/>
        </w:rPr>
        <w:t xml:space="preserve"> </w:t>
      </w:r>
    </w:p>
    <w:p w:rsidR="00212FEC" w:rsidRPr="00EF46BC" w:rsidRDefault="00212FEC" w:rsidP="00212FEC">
      <w:pPr>
        <w:rPr>
          <w:sz w:val="28"/>
          <w:szCs w:val="28"/>
        </w:rPr>
      </w:pPr>
    </w:p>
    <w:p w:rsidR="00212FEC" w:rsidRPr="00EF46BC" w:rsidRDefault="00212FEC" w:rsidP="00212FEC">
      <w:pPr>
        <w:rPr>
          <w:sz w:val="28"/>
          <w:szCs w:val="28"/>
        </w:rPr>
      </w:pPr>
    </w:p>
    <w:p w:rsidR="00212FEC" w:rsidRPr="00EF46BC" w:rsidRDefault="00212FEC" w:rsidP="00212FEC">
      <w:pPr>
        <w:rPr>
          <w:sz w:val="28"/>
          <w:szCs w:val="28"/>
        </w:rPr>
      </w:pPr>
    </w:p>
    <w:p w:rsidR="00212FEC" w:rsidRPr="00EF46B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94C42" w:rsidRDefault="00294C42" w:rsidP="00212FEC">
      <w:pPr>
        <w:rPr>
          <w:sz w:val="28"/>
          <w:szCs w:val="28"/>
        </w:rPr>
      </w:pPr>
    </w:p>
    <w:p w:rsidR="00294C42" w:rsidRDefault="00294C42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Default="00212FEC" w:rsidP="00212FEC">
      <w:pPr>
        <w:rPr>
          <w:sz w:val="28"/>
          <w:szCs w:val="28"/>
        </w:rPr>
      </w:pPr>
    </w:p>
    <w:p w:rsidR="00212FEC" w:rsidRPr="00EF46BC" w:rsidRDefault="00212FEC" w:rsidP="00212FEC">
      <w:pPr>
        <w:rPr>
          <w:sz w:val="28"/>
          <w:szCs w:val="28"/>
        </w:rPr>
      </w:pPr>
    </w:p>
    <w:p w:rsidR="00212FEC" w:rsidRPr="00EF46BC" w:rsidRDefault="00212FEC" w:rsidP="00212FEC">
      <w:pPr>
        <w:ind w:left="5040"/>
      </w:pPr>
    </w:p>
    <w:p w:rsidR="00212FEC" w:rsidRPr="00EF46BC" w:rsidRDefault="00212FEC" w:rsidP="00212FEC">
      <w:pPr>
        <w:jc w:val="center"/>
        <w:rPr>
          <w:sz w:val="28"/>
          <w:szCs w:val="28"/>
        </w:rPr>
      </w:pPr>
      <w:r w:rsidRPr="00EF46BC">
        <w:rPr>
          <w:sz w:val="28"/>
          <w:szCs w:val="28"/>
        </w:rPr>
        <w:t xml:space="preserve"> Муниципальная  программа </w:t>
      </w:r>
    </w:p>
    <w:p w:rsidR="002835D6" w:rsidRDefault="00212FEC" w:rsidP="00212FEC">
      <w:pPr>
        <w:jc w:val="center"/>
        <w:rPr>
          <w:bCs/>
          <w:sz w:val="28"/>
          <w:szCs w:val="28"/>
        </w:rPr>
      </w:pPr>
      <w:r w:rsidRPr="00EF46B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Комплексное развитие систем коммунальной инфраструктуры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Сычевка</w:t>
      </w:r>
      <w:r w:rsidR="002835D6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2835D6">
        <w:rPr>
          <w:bCs/>
          <w:sz w:val="28"/>
          <w:szCs w:val="28"/>
        </w:rPr>
        <w:t>Сычевский</w:t>
      </w:r>
      <w:proofErr w:type="spellEnd"/>
      <w:r w:rsidR="002835D6">
        <w:rPr>
          <w:bCs/>
          <w:sz w:val="28"/>
          <w:szCs w:val="28"/>
        </w:rPr>
        <w:t xml:space="preserve"> муниципальный округ</w:t>
      </w:r>
      <w:r>
        <w:rPr>
          <w:bCs/>
          <w:sz w:val="28"/>
          <w:szCs w:val="28"/>
        </w:rPr>
        <w:t xml:space="preserve">» </w:t>
      </w:r>
    </w:p>
    <w:p w:rsidR="00212FEC" w:rsidRPr="00EF46BC" w:rsidRDefault="00212FEC" w:rsidP="00212FEC">
      <w:pPr>
        <w:jc w:val="center"/>
        <w:rPr>
          <w:bCs/>
          <w:sz w:val="28"/>
          <w:szCs w:val="28"/>
        </w:rPr>
      </w:pPr>
      <w:r w:rsidRPr="00EF46BC">
        <w:rPr>
          <w:bCs/>
          <w:sz w:val="28"/>
          <w:szCs w:val="28"/>
        </w:rPr>
        <w:t>Смоленской  области»</w:t>
      </w:r>
    </w:p>
    <w:p w:rsidR="00212FEC" w:rsidRPr="00EF46BC" w:rsidRDefault="00212FEC" w:rsidP="00212FEC">
      <w:pPr>
        <w:jc w:val="center"/>
        <w:rPr>
          <w:sz w:val="28"/>
          <w:szCs w:val="28"/>
          <w:u w:val="single"/>
        </w:rPr>
      </w:pPr>
      <w:r w:rsidRPr="00EF46BC">
        <w:rPr>
          <w:sz w:val="28"/>
          <w:szCs w:val="28"/>
          <w:u w:val="single"/>
        </w:rPr>
        <w:t xml:space="preserve"> </w:t>
      </w:r>
    </w:p>
    <w:p w:rsidR="00212FEC" w:rsidRPr="00EF46BC" w:rsidRDefault="00212FEC" w:rsidP="00212FEC">
      <w:pPr>
        <w:jc w:val="center"/>
        <w:rPr>
          <w:sz w:val="28"/>
          <w:szCs w:val="28"/>
        </w:rPr>
      </w:pPr>
    </w:p>
    <w:p w:rsidR="00212FEC" w:rsidRPr="00EF46BC" w:rsidRDefault="00212FEC" w:rsidP="00212FEC">
      <w:pPr>
        <w:jc w:val="center"/>
        <w:rPr>
          <w:sz w:val="28"/>
          <w:szCs w:val="28"/>
        </w:rPr>
      </w:pPr>
    </w:p>
    <w:p w:rsidR="00212FEC" w:rsidRPr="00EF46B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12FEC" w:rsidRDefault="00212FEC" w:rsidP="00212FEC">
      <w:pPr>
        <w:jc w:val="center"/>
        <w:rPr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1. СТРАТЕГИЕСКИЕ ПРИОРИТЕТЫ В СФЕРЕ РЕАЛИЗАЦИИ МУНИЦИПАЛЬНОЙ ПРОГРАММЫ</w:t>
      </w:r>
    </w:p>
    <w:p w:rsidR="00294C42" w:rsidRPr="00EF46BC" w:rsidRDefault="00294C42" w:rsidP="00294C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Основой преобразований в жилищно-коммунальном хозяйстве является реорганизация системы управления отраслью, основанная на принципах сокращения степени участия государства и муниципальных образований                    в управлении жилищным фондом и активного привлечения граждан                            к управлению своей собственностью в жилищной сфере.</w:t>
      </w:r>
    </w:p>
    <w:p w:rsidR="00294C42" w:rsidRPr="00387914" w:rsidRDefault="00294C42" w:rsidP="003879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состоянию на 1 января 2026</w:t>
      </w:r>
      <w:r w:rsidRPr="00EF46BC">
        <w:rPr>
          <w:sz w:val="28"/>
          <w:szCs w:val="28"/>
        </w:rPr>
        <w:t xml:space="preserve"> года общая площадь жилищного фонда</w:t>
      </w:r>
      <w:r>
        <w:rPr>
          <w:sz w:val="28"/>
          <w:szCs w:val="28"/>
        </w:rPr>
        <w:t xml:space="preserve">               </w:t>
      </w:r>
      <w:proofErr w:type="gramStart"/>
      <w:r w:rsidR="00387914">
        <w:rPr>
          <w:bCs/>
          <w:sz w:val="28"/>
          <w:szCs w:val="28"/>
        </w:rPr>
        <w:t>г</w:t>
      </w:r>
      <w:proofErr w:type="gramEnd"/>
      <w:r w:rsidR="00387914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387914">
        <w:rPr>
          <w:bCs/>
          <w:sz w:val="28"/>
          <w:szCs w:val="28"/>
        </w:rPr>
        <w:t>Сычевский</w:t>
      </w:r>
      <w:proofErr w:type="spellEnd"/>
      <w:r w:rsidR="00387914">
        <w:rPr>
          <w:bCs/>
          <w:sz w:val="28"/>
          <w:szCs w:val="28"/>
        </w:rPr>
        <w:t xml:space="preserve"> муниципальный округ» </w:t>
      </w:r>
      <w:r w:rsidR="00387914" w:rsidRPr="00EF46BC">
        <w:rPr>
          <w:bCs/>
          <w:sz w:val="28"/>
          <w:szCs w:val="28"/>
        </w:rPr>
        <w:t>Смоленской  области»</w:t>
      </w:r>
      <w:r w:rsidR="0038791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 w:rsidRPr="003D05DB">
        <w:rPr>
          <w:sz w:val="28"/>
          <w:szCs w:val="28"/>
        </w:rPr>
        <w:t>150,89 тыс.кв.м.</w:t>
      </w:r>
    </w:p>
    <w:p w:rsidR="00294C42" w:rsidRPr="00387914" w:rsidRDefault="00294C42" w:rsidP="00387914">
      <w:pPr>
        <w:ind w:firstLine="709"/>
        <w:jc w:val="both"/>
        <w:rPr>
          <w:bCs/>
          <w:sz w:val="28"/>
          <w:szCs w:val="28"/>
        </w:rPr>
      </w:pPr>
      <w:r w:rsidRPr="00EF46BC">
        <w:rPr>
          <w:sz w:val="28"/>
          <w:szCs w:val="28"/>
        </w:rPr>
        <w:t>На терр</w:t>
      </w:r>
      <w:r>
        <w:rPr>
          <w:sz w:val="28"/>
          <w:szCs w:val="28"/>
        </w:rPr>
        <w:t xml:space="preserve">итории </w:t>
      </w:r>
      <w:proofErr w:type="gramStart"/>
      <w:r w:rsidR="00387914">
        <w:rPr>
          <w:bCs/>
          <w:sz w:val="28"/>
          <w:szCs w:val="28"/>
        </w:rPr>
        <w:t>г</w:t>
      </w:r>
      <w:proofErr w:type="gramEnd"/>
      <w:r w:rsidR="00387914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387914">
        <w:rPr>
          <w:bCs/>
          <w:sz w:val="28"/>
          <w:szCs w:val="28"/>
        </w:rPr>
        <w:t>Сычевский</w:t>
      </w:r>
      <w:proofErr w:type="spellEnd"/>
      <w:r w:rsidR="00387914">
        <w:rPr>
          <w:bCs/>
          <w:sz w:val="28"/>
          <w:szCs w:val="28"/>
        </w:rPr>
        <w:t xml:space="preserve"> муниципальный округ» </w:t>
      </w:r>
      <w:r w:rsidR="00387914" w:rsidRPr="00EF46BC">
        <w:rPr>
          <w:bCs/>
          <w:sz w:val="28"/>
          <w:szCs w:val="28"/>
        </w:rPr>
        <w:t>Смоленской области»</w:t>
      </w:r>
      <w:r w:rsidR="0038791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расположены 117</w:t>
      </w:r>
      <w:r w:rsidRPr="00EF46BC">
        <w:rPr>
          <w:sz w:val="28"/>
          <w:szCs w:val="28"/>
        </w:rPr>
        <w:t xml:space="preserve"> многоквартирных домов</w:t>
      </w:r>
      <w:r>
        <w:rPr>
          <w:sz w:val="28"/>
          <w:szCs w:val="28"/>
        </w:rPr>
        <w:t>,</w:t>
      </w:r>
      <w:r w:rsidRPr="00EF46BC">
        <w:rPr>
          <w:sz w:val="28"/>
          <w:szCs w:val="28"/>
        </w:rPr>
        <w:t xml:space="preserve"> основная часть которых нуждается в капитальном и текущем ремонте. 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Процесс реформирования жилищного хозяйства продолжается в условиях динамично развивающегося законодательства. Для повышения качества жилищных услуг по-прежнему актуальным являются улучшение технического состояния жилья и стабилизация рынка управления многоквартирными домами. Немаловажное значение имеет формирование активного собственника жилья, осознающего свою ответственность за состояние жилья и владеющего знаниями, необходимыми для успешной реализации жилищных прав.</w:t>
      </w:r>
    </w:p>
    <w:p w:rsidR="00294C42" w:rsidRPr="00EF46BC" w:rsidRDefault="00294C42" w:rsidP="00294C42">
      <w:pPr>
        <w:pStyle w:val="ConsPlusNormal"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прогнозируется приведение технического состояния многоквартирных домов 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F46BC">
        <w:rPr>
          <w:rFonts w:ascii="Times New Roman" w:hAnsi="Times New Roman" w:cs="Times New Roman"/>
          <w:sz w:val="28"/>
          <w:szCs w:val="28"/>
        </w:rPr>
        <w:t>с нормативными требованиями, развитие конкуренции на рынке управления многоквартирными домами.</w:t>
      </w:r>
    </w:p>
    <w:p w:rsidR="00387914" w:rsidRPr="00EF46BC" w:rsidRDefault="00294C42" w:rsidP="00387914">
      <w:pPr>
        <w:ind w:firstLine="709"/>
        <w:jc w:val="both"/>
        <w:rPr>
          <w:bCs/>
          <w:sz w:val="28"/>
          <w:szCs w:val="28"/>
        </w:rPr>
      </w:pPr>
      <w:r w:rsidRPr="00EF46BC">
        <w:rPr>
          <w:sz w:val="28"/>
          <w:szCs w:val="28"/>
        </w:rPr>
        <w:t>На недостаточном уровне находится газификация</w:t>
      </w:r>
      <w:r>
        <w:rPr>
          <w:sz w:val="28"/>
          <w:szCs w:val="28"/>
        </w:rPr>
        <w:t xml:space="preserve"> </w:t>
      </w:r>
      <w:proofErr w:type="gramStart"/>
      <w:r w:rsidR="00387914">
        <w:rPr>
          <w:bCs/>
          <w:sz w:val="28"/>
          <w:szCs w:val="28"/>
        </w:rPr>
        <w:t>г</w:t>
      </w:r>
      <w:proofErr w:type="gramEnd"/>
      <w:r w:rsidR="00387914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387914">
        <w:rPr>
          <w:bCs/>
          <w:sz w:val="28"/>
          <w:szCs w:val="28"/>
        </w:rPr>
        <w:t>Сычевский</w:t>
      </w:r>
      <w:proofErr w:type="spellEnd"/>
      <w:r w:rsidR="00387914">
        <w:rPr>
          <w:bCs/>
          <w:sz w:val="28"/>
          <w:szCs w:val="28"/>
        </w:rPr>
        <w:t xml:space="preserve"> муниципальный округ» </w:t>
      </w:r>
      <w:r w:rsidR="003147A5">
        <w:rPr>
          <w:bCs/>
          <w:sz w:val="28"/>
          <w:szCs w:val="28"/>
        </w:rPr>
        <w:t>Смоленской  области.</w:t>
      </w:r>
    </w:p>
    <w:p w:rsidR="00294C42" w:rsidRPr="00EF46BC" w:rsidRDefault="00294C42" w:rsidP="00294C42">
      <w:pPr>
        <w:ind w:firstLine="709"/>
        <w:jc w:val="both"/>
        <w:rPr>
          <w:color w:val="000000"/>
          <w:sz w:val="28"/>
          <w:szCs w:val="28"/>
        </w:rPr>
      </w:pPr>
      <w:r w:rsidRPr="00EF46BC">
        <w:rPr>
          <w:sz w:val="28"/>
          <w:szCs w:val="28"/>
        </w:rPr>
        <w:t>Основными направлениями стратегии развития газоснабжения потребителей является: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46BC">
        <w:rPr>
          <w:sz w:val="28"/>
          <w:szCs w:val="28"/>
        </w:rPr>
        <w:t>дальнейшее повышение уровня газификации и надежности газоснабжения;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- повышение экономического потенциала;</w:t>
      </w:r>
    </w:p>
    <w:p w:rsidR="00294C42" w:rsidRPr="00EF46BC" w:rsidRDefault="00294C42" w:rsidP="00294C42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EF46BC">
        <w:rPr>
          <w:spacing w:val="2"/>
          <w:sz w:val="28"/>
          <w:szCs w:val="28"/>
        </w:rPr>
        <w:t>обеспечение перспективной потребности в природном газе и недопущение инфраструктурного ограничения роста экономики;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46BC">
        <w:rPr>
          <w:sz w:val="28"/>
          <w:szCs w:val="28"/>
        </w:rPr>
        <w:t>обеспечение подключения к газораспределительным сетям домовладений, коммунально-бытовых и социальных объектов;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46BC">
        <w:rPr>
          <w:sz w:val="28"/>
          <w:szCs w:val="28"/>
        </w:rPr>
        <w:t>внедрение новых технологий при строительстве объектов газоснабжения, позволяющих увеличить срок их эксплуатации;</w:t>
      </w:r>
    </w:p>
    <w:p w:rsidR="00294C42" w:rsidRPr="00EF46BC" w:rsidRDefault="00294C42" w:rsidP="00294C42">
      <w:pPr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Pr="00EF46BC">
        <w:rPr>
          <w:spacing w:val="4"/>
          <w:sz w:val="28"/>
          <w:szCs w:val="28"/>
        </w:rPr>
        <w:t>реконструкция и перекладка существующих объектов газораспределения;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 xml:space="preserve">- повышение </w:t>
      </w:r>
      <w:proofErr w:type="spellStart"/>
      <w:r w:rsidRPr="00EF46BC">
        <w:rPr>
          <w:sz w:val="28"/>
          <w:szCs w:val="28"/>
        </w:rPr>
        <w:t>энергоэффективности</w:t>
      </w:r>
      <w:proofErr w:type="spellEnd"/>
      <w:r w:rsidRPr="00EF46BC">
        <w:rPr>
          <w:sz w:val="28"/>
          <w:szCs w:val="28"/>
        </w:rPr>
        <w:t xml:space="preserve"> и безопасности </w:t>
      </w:r>
      <w:proofErr w:type="spellStart"/>
      <w:r w:rsidRPr="00EF46BC">
        <w:rPr>
          <w:sz w:val="28"/>
          <w:szCs w:val="28"/>
        </w:rPr>
        <w:t>газопотребления</w:t>
      </w:r>
      <w:proofErr w:type="spellEnd"/>
      <w:r w:rsidRPr="00EF46BC">
        <w:rPr>
          <w:sz w:val="28"/>
          <w:szCs w:val="28"/>
        </w:rPr>
        <w:t xml:space="preserve">                  за счет стимулирования внедрения энергосберегающих технологий</w:t>
      </w:r>
      <w:r>
        <w:rPr>
          <w:sz w:val="28"/>
          <w:szCs w:val="28"/>
        </w:rPr>
        <w:t xml:space="preserve">, </w:t>
      </w:r>
      <w:r w:rsidRPr="00EF46BC">
        <w:rPr>
          <w:sz w:val="28"/>
          <w:szCs w:val="28"/>
        </w:rPr>
        <w:lastRenderedPageBreak/>
        <w:t>высокоэффективного газоиспользующего оборудования, пропаганды безопасного использования газа в быту;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- определение бесхозяйных газопроводов и оформление их                                   в муниципальную собственность.</w:t>
      </w:r>
    </w:p>
    <w:p w:rsidR="00294C42" w:rsidRPr="00EF46BC" w:rsidRDefault="00294C42" w:rsidP="00294C42">
      <w:pPr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Для организа</w:t>
      </w:r>
      <w:r w:rsidR="00387914">
        <w:rPr>
          <w:sz w:val="28"/>
          <w:szCs w:val="28"/>
        </w:rPr>
        <w:t>ции бесперебойной работы объекты</w:t>
      </w:r>
      <w:r w:rsidRPr="00EF46BC">
        <w:rPr>
          <w:sz w:val="28"/>
          <w:szCs w:val="28"/>
        </w:rPr>
        <w:t xml:space="preserve"> коммунальной инфраструктуры, </w:t>
      </w:r>
      <w:r w:rsidR="00387914">
        <w:rPr>
          <w:sz w:val="28"/>
          <w:szCs w:val="28"/>
        </w:rPr>
        <w:t>а также объекты</w:t>
      </w:r>
      <w:r w:rsidRPr="00EF46BC">
        <w:rPr>
          <w:sz w:val="28"/>
          <w:szCs w:val="28"/>
        </w:rPr>
        <w:t xml:space="preserve"> жизнеобеспечения, необходимо обеспечить резервными источниками электроснабжения. </w:t>
      </w:r>
    </w:p>
    <w:p w:rsidR="00294C42" w:rsidRPr="00EF46BC" w:rsidRDefault="00294C42" w:rsidP="00294C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Анализ современного состояния в жилищно-коммунальной сфере показывает, что коммунальный сектор, несмотря на все усилия по реформир</w:t>
      </w:r>
      <w:r w:rsidR="00387914">
        <w:rPr>
          <w:sz w:val="28"/>
          <w:szCs w:val="28"/>
        </w:rPr>
        <w:t xml:space="preserve">ованию, пока не стал </w:t>
      </w:r>
      <w:proofErr w:type="spellStart"/>
      <w:r w:rsidR="00387914">
        <w:rPr>
          <w:sz w:val="28"/>
          <w:szCs w:val="28"/>
        </w:rPr>
        <w:t>инвестицион</w:t>
      </w:r>
      <w:r w:rsidRPr="00EF46BC">
        <w:rPr>
          <w:sz w:val="28"/>
          <w:szCs w:val="28"/>
        </w:rPr>
        <w:t>но</w:t>
      </w:r>
      <w:proofErr w:type="spellEnd"/>
      <w:r w:rsidR="00387914">
        <w:rPr>
          <w:sz w:val="28"/>
          <w:szCs w:val="28"/>
        </w:rPr>
        <w:t xml:space="preserve"> </w:t>
      </w:r>
      <w:r w:rsidRPr="00EF46BC">
        <w:rPr>
          <w:sz w:val="28"/>
          <w:szCs w:val="28"/>
        </w:rPr>
        <w:t>-</w:t>
      </w:r>
      <w:r w:rsidR="00387914">
        <w:rPr>
          <w:sz w:val="28"/>
          <w:szCs w:val="28"/>
        </w:rPr>
        <w:t xml:space="preserve"> </w:t>
      </w:r>
      <w:r w:rsidRPr="00EF46BC">
        <w:rPr>
          <w:sz w:val="28"/>
          <w:szCs w:val="28"/>
        </w:rPr>
        <w:t>привлекательным сектором экономики для частного бизнеса. Проблемы обеспечения населения качественными и надежными коммунальными услугами носят комплексный характер, а их решение окажет существенное положительное влияние на социальное благополучие общества, общее экономическое развитие и рост производства.</w:t>
      </w:r>
    </w:p>
    <w:p w:rsidR="00294C42" w:rsidRPr="00EF46BC" w:rsidRDefault="00387914" w:rsidP="00294C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принятия</w:t>
      </w:r>
      <w:r w:rsidR="00294C42" w:rsidRPr="00EF46BC">
        <w:rPr>
          <w:sz w:val="28"/>
          <w:szCs w:val="28"/>
        </w:rPr>
        <w:t xml:space="preserve"> мер на государственном уровне правового и институционального характера переломить эти тенденции, обеспечить решение задачи повышения качества коммунальных услуг для населения при обеспечении доступности тарифов на эти услуги не предоставляется </w:t>
      </w:r>
      <w:proofErr w:type="gramStart"/>
      <w:r w:rsidR="00294C42" w:rsidRPr="00EF46BC">
        <w:rPr>
          <w:sz w:val="28"/>
          <w:szCs w:val="28"/>
        </w:rPr>
        <w:t>возможным</w:t>
      </w:r>
      <w:proofErr w:type="gramEnd"/>
      <w:r w:rsidR="00294C42" w:rsidRPr="00EF46BC">
        <w:rPr>
          <w:sz w:val="28"/>
          <w:szCs w:val="28"/>
        </w:rPr>
        <w:t>.</w:t>
      </w:r>
    </w:p>
    <w:p w:rsidR="00294C42" w:rsidRPr="00387914" w:rsidRDefault="00294C42" w:rsidP="00387914">
      <w:pPr>
        <w:ind w:firstLine="709"/>
        <w:jc w:val="both"/>
        <w:rPr>
          <w:bCs/>
          <w:sz w:val="28"/>
          <w:szCs w:val="28"/>
        </w:rPr>
      </w:pPr>
      <w:r w:rsidRPr="00EF46BC">
        <w:rPr>
          <w:sz w:val="28"/>
          <w:szCs w:val="28"/>
        </w:rPr>
        <w:t xml:space="preserve">Главной стратегической целью социально-экономического развития </w:t>
      </w:r>
      <w:r w:rsidR="00667CDA">
        <w:rPr>
          <w:sz w:val="28"/>
          <w:szCs w:val="28"/>
        </w:rPr>
        <w:t xml:space="preserve">                </w:t>
      </w:r>
      <w:proofErr w:type="gramStart"/>
      <w:r w:rsidR="00387914">
        <w:rPr>
          <w:bCs/>
          <w:sz w:val="28"/>
          <w:szCs w:val="28"/>
        </w:rPr>
        <w:t>г</w:t>
      </w:r>
      <w:proofErr w:type="gramEnd"/>
      <w:r w:rsidR="00387914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387914">
        <w:rPr>
          <w:bCs/>
          <w:sz w:val="28"/>
          <w:szCs w:val="28"/>
        </w:rPr>
        <w:t>Сычевский</w:t>
      </w:r>
      <w:proofErr w:type="spellEnd"/>
      <w:r w:rsidR="00387914">
        <w:rPr>
          <w:bCs/>
          <w:sz w:val="28"/>
          <w:szCs w:val="28"/>
        </w:rPr>
        <w:t xml:space="preserve"> муниципальный округ»  </w:t>
      </w:r>
      <w:r w:rsidR="003147A5">
        <w:rPr>
          <w:bCs/>
          <w:sz w:val="28"/>
          <w:szCs w:val="28"/>
        </w:rPr>
        <w:t>Смоленской  области</w:t>
      </w:r>
      <w:r w:rsidRPr="00EF46BC">
        <w:rPr>
          <w:sz w:val="28"/>
          <w:szCs w:val="28"/>
        </w:rPr>
        <w:t xml:space="preserve"> является повышение качества жизни граждан. Основным направлением является обеспечение устойчивого развития </w:t>
      </w:r>
      <w:r>
        <w:rPr>
          <w:sz w:val="28"/>
          <w:szCs w:val="28"/>
        </w:rPr>
        <w:t>округа</w:t>
      </w:r>
      <w:r w:rsidRPr="00EF46BC">
        <w:rPr>
          <w:sz w:val="28"/>
          <w:szCs w:val="28"/>
        </w:rPr>
        <w:t>, которое предполагает совершенствование городской среды путем создания комфортной и эстетичной территории жизнедеятельности, с умной инфраструктурой: модернизация и развитие инженерной инфраструктуры, обеспечение безопасности жизнедеятельности населения, формирование здоровой и комфортной среды обитания.</w:t>
      </w:r>
    </w:p>
    <w:p w:rsidR="00294C42" w:rsidRPr="00EF46BC" w:rsidRDefault="00294C42" w:rsidP="00294C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>Комфорт и безопасность жизни конкретного человека обеспечиваются комплексом условий, создаваемых как им самим, так и властью.</w:t>
      </w:r>
    </w:p>
    <w:p w:rsidR="00294C42" w:rsidRPr="00EF46BC" w:rsidRDefault="00294C42" w:rsidP="00294C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6BC">
        <w:rPr>
          <w:sz w:val="28"/>
          <w:szCs w:val="28"/>
        </w:rPr>
        <w:t xml:space="preserve">Рационально выстроенная городская среда позволяет снизить </w:t>
      </w:r>
      <w:r w:rsidR="00387914">
        <w:rPr>
          <w:sz w:val="28"/>
          <w:szCs w:val="28"/>
        </w:rPr>
        <w:t>градус социальной напряженности. Н</w:t>
      </w:r>
      <w:r w:rsidRPr="00EF46BC">
        <w:rPr>
          <w:sz w:val="28"/>
          <w:szCs w:val="28"/>
        </w:rPr>
        <w:t>а освещенных у</w:t>
      </w:r>
      <w:r>
        <w:rPr>
          <w:sz w:val="28"/>
          <w:szCs w:val="28"/>
        </w:rPr>
        <w:t xml:space="preserve">лицах </w:t>
      </w:r>
      <w:r w:rsidR="003479FD">
        <w:rPr>
          <w:sz w:val="28"/>
          <w:szCs w:val="28"/>
        </w:rPr>
        <w:t>снизился</w:t>
      </w:r>
      <w:r>
        <w:rPr>
          <w:sz w:val="28"/>
          <w:szCs w:val="28"/>
        </w:rPr>
        <w:t xml:space="preserve"> уровень преступности</w:t>
      </w:r>
      <w:r w:rsidRPr="00EF46BC">
        <w:rPr>
          <w:sz w:val="28"/>
          <w:szCs w:val="28"/>
        </w:rPr>
        <w:t>. Сегодня гражданам важно, как обеспечено освещение улиц, качество вывоза твердых бытовых отходов,</w:t>
      </w:r>
      <w:r>
        <w:rPr>
          <w:sz w:val="28"/>
          <w:szCs w:val="28"/>
        </w:rPr>
        <w:t xml:space="preserve"> качество питьевой воды,</w:t>
      </w:r>
      <w:r w:rsidRPr="00EF46BC">
        <w:rPr>
          <w:sz w:val="28"/>
          <w:szCs w:val="28"/>
        </w:rPr>
        <w:t xml:space="preserve"> как обустроены контейнерные площадки,</w:t>
      </w:r>
      <w:r w:rsidR="003479FD">
        <w:rPr>
          <w:sz w:val="28"/>
          <w:szCs w:val="28"/>
        </w:rPr>
        <w:t xml:space="preserve"> как качественно убраны</w:t>
      </w:r>
      <w:r w:rsidRPr="00EF46BC">
        <w:rPr>
          <w:sz w:val="28"/>
          <w:szCs w:val="28"/>
        </w:rPr>
        <w:t xml:space="preserve"> улиц</w:t>
      </w:r>
      <w:r w:rsidR="003479FD">
        <w:rPr>
          <w:sz w:val="28"/>
          <w:szCs w:val="28"/>
        </w:rPr>
        <w:t>ы города</w:t>
      </w:r>
      <w:r w:rsidRPr="00EF46BC">
        <w:rPr>
          <w:sz w:val="28"/>
          <w:szCs w:val="28"/>
        </w:rPr>
        <w:t>.</w:t>
      </w:r>
    </w:p>
    <w:p w:rsidR="00294C42" w:rsidRDefault="00294C42" w:rsidP="00294C4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7CDA" w:rsidRDefault="00667CDA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lastRenderedPageBreak/>
        <w:t>Раздел 2. ПАСПОРТ МУНИЦИПАЛЬНОЙ ПРОГРАММЫ</w:t>
      </w:r>
    </w:p>
    <w:p w:rsidR="00294C42" w:rsidRPr="00EF46BC" w:rsidRDefault="00294C42" w:rsidP="0029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9FD" w:rsidRDefault="00294C42" w:rsidP="003479FD">
      <w:pPr>
        <w:jc w:val="center"/>
        <w:rPr>
          <w:bCs/>
          <w:sz w:val="28"/>
          <w:szCs w:val="28"/>
        </w:rPr>
      </w:pPr>
      <w:r w:rsidRPr="00EF46BC">
        <w:rPr>
          <w:bCs/>
          <w:sz w:val="28"/>
          <w:szCs w:val="28"/>
        </w:rPr>
        <w:t>Паспорт муниципальной программы «</w:t>
      </w:r>
      <w:r>
        <w:rPr>
          <w:bCs/>
          <w:sz w:val="28"/>
          <w:szCs w:val="28"/>
        </w:rPr>
        <w:t xml:space="preserve">Комплексное развитие систем коммунальной инфраструктуры </w:t>
      </w:r>
      <w:proofErr w:type="gramStart"/>
      <w:r w:rsidR="003479FD">
        <w:rPr>
          <w:bCs/>
          <w:sz w:val="28"/>
          <w:szCs w:val="28"/>
        </w:rPr>
        <w:t>г</w:t>
      </w:r>
      <w:proofErr w:type="gramEnd"/>
      <w:r w:rsidR="003479FD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3479FD">
        <w:rPr>
          <w:bCs/>
          <w:sz w:val="28"/>
          <w:szCs w:val="28"/>
        </w:rPr>
        <w:t>Сычевский</w:t>
      </w:r>
      <w:proofErr w:type="spellEnd"/>
      <w:r w:rsidR="003479FD">
        <w:rPr>
          <w:bCs/>
          <w:sz w:val="28"/>
          <w:szCs w:val="28"/>
        </w:rPr>
        <w:t xml:space="preserve"> муниципальный округ» </w:t>
      </w:r>
      <w:r w:rsidR="003147A5">
        <w:rPr>
          <w:bCs/>
          <w:sz w:val="28"/>
          <w:szCs w:val="28"/>
        </w:rPr>
        <w:t>Смоленской  области</w:t>
      </w:r>
    </w:p>
    <w:p w:rsidR="00294C42" w:rsidRPr="006B78F5" w:rsidRDefault="00294C42" w:rsidP="003479FD">
      <w:pPr>
        <w:ind w:firstLine="709"/>
        <w:jc w:val="center"/>
        <w:rPr>
          <w:bCs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294C42" w:rsidRPr="00EF46BC" w:rsidRDefault="00294C42" w:rsidP="00294C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7"/>
        <w:gridCol w:w="7233"/>
      </w:tblGrid>
      <w:tr w:rsidR="00294C42" w:rsidRPr="00EF46BC" w:rsidTr="0038791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479FD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истрация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294C42" w:rsidRPr="00EF46BC" w:rsidTr="0038791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Default="00294C42" w:rsidP="00294C42">
            <w:pPr>
              <w:pStyle w:val="ConsPlusNormal"/>
              <w:ind w:left="8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этап: 2018 - 2025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294C42" w:rsidRPr="00EF46BC" w:rsidRDefault="00294C42" w:rsidP="00294C42">
            <w:pPr>
              <w:pStyle w:val="ConsPlusNormal"/>
              <w:ind w:left="8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этап: 2026 - 2028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94C42" w:rsidRPr="00EF46BC" w:rsidTr="0038791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479FD" w:rsidRDefault="00294C42" w:rsidP="003479FD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>Повышение качества и надежности предоставления жилищно-коммунальных услуг населению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3479FD">
              <w:rPr>
                <w:bCs/>
                <w:sz w:val="28"/>
                <w:szCs w:val="28"/>
              </w:rPr>
              <w:t>г</w:t>
            </w:r>
            <w:proofErr w:type="gramEnd"/>
            <w:r w:rsidR="003479F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3479F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3479FD">
              <w:rPr>
                <w:bCs/>
                <w:sz w:val="28"/>
                <w:szCs w:val="28"/>
              </w:rPr>
              <w:t xml:space="preserve"> муниципальный округ»  </w:t>
            </w:r>
            <w:r w:rsidR="003479FD"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</w:tr>
      <w:tr w:rsidR="00294C42" w:rsidRPr="00EF46BC" w:rsidTr="0038791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35978" w:rsidRDefault="00294C42" w:rsidP="00294C42">
            <w:pPr>
              <w:pStyle w:val="ConsPlusNormal"/>
              <w:ind w:left="8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248070,8</w:t>
            </w:r>
            <w:r w:rsidRPr="003359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94C42" w:rsidRPr="00335978" w:rsidRDefault="00294C42" w:rsidP="00294C42">
            <w:pPr>
              <w:pStyle w:val="ConsPlusNormal"/>
              <w:ind w:left="86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sz w:val="28"/>
                <w:szCs w:val="28"/>
              </w:rPr>
              <w:t>2018-2025 годы – 157975,7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4C42" w:rsidRPr="00EF46BC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sz w:val="28"/>
                <w:szCs w:val="28"/>
              </w:rPr>
              <w:t xml:space="preserve">2026 - 2028 годы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90095,10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294C42" w:rsidRPr="00EF46BC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94C42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 - 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32099,35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94C42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средства: </w:t>
            </w:r>
          </w:p>
          <w:p w:rsidR="00294C42" w:rsidRPr="00E91F64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бюджета: 13282,5 тыс. рублей;</w:t>
            </w:r>
          </w:p>
          <w:p w:rsidR="00294C42" w:rsidRPr="00E91F64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областного бюджета: 8281,7 тыс. рублей;</w:t>
            </w:r>
          </w:p>
          <w:p w:rsidR="00294C42" w:rsidRPr="00E91F64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бюджета муниципального образования «</w:t>
            </w:r>
            <w:proofErr w:type="spellStart"/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91F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10535,15 тыс. рублей</w:t>
            </w:r>
          </w:p>
          <w:p w:rsidR="00294C42" w:rsidRPr="00EF46BC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4221,65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94C42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 53774,10 тыс. рублей, из них средства:</w:t>
            </w:r>
          </w:p>
          <w:p w:rsidR="00294C42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федерального бюджета:</w:t>
            </w:r>
            <w:r w:rsidRPr="006B78F5">
              <w:rPr>
                <w:rFonts w:ascii="Times New Roman" w:hAnsi="Times New Roman" w:cs="Times New Roman"/>
                <w:sz w:val="28"/>
                <w:szCs w:val="28"/>
              </w:rPr>
              <w:t xml:space="preserve"> 32293,23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94C42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областного бюджета:</w:t>
            </w:r>
            <w:r w:rsidRPr="006B78F5">
              <w:rPr>
                <w:rFonts w:ascii="Times New Roman" w:hAnsi="Times New Roman" w:cs="Times New Roman"/>
                <w:sz w:val="28"/>
                <w:szCs w:val="28"/>
              </w:rPr>
              <w:t xml:space="preserve"> 17711,77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94C42" w:rsidRPr="00E91F64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бюджета муниципального образования «</w:t>
            </w:r>
            <w:proofErr w:type="spellStart"/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91F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области: </w:t>
            </w:r>
            <w:r w:rsidRPr="00156141">
              <w:rPr>
                <w:rFonts w:ascii="Times New Roman" w:hAnsi="Times New Roman" w:cs="Times New Roman"/>
                <w:sz w:val="28"/>
                <w:szCs w:val="28"/>
              </w:rPr>
              <w:t>3769,1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94C42" w:rsidRPr="00EF46BC" w:rsidRDefault="00294C42" w:rsidP="00294C42">
            <w:pPr>
              <w:pStyle w:val="ConsPlusNormal"/>
              <w:ind w:left="8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C42" w:rsidRDefault="00294C42" w:rsidP="00294C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7CDA" w:rsidRDefault="00667CDA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CDA" w:rsidRDefault="00667CDA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CDA" w:rsidRDefault="00667CDA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4C42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tbl>
      <w:tblPr>
        <w:tblpPr w:leftFromText="180" w:rightFromText="180" w:vertAnchor="text" w:horzAnchor="margin" w:tblpY="278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701"/>
        <w:gridCol w:w="1417"/>
        <w:gridCol w:w="1276"/>
        <w:gridCol w:w="1417"/>
      </w:tblGrid>
      <w:tr w:rsidR="00294C42" w:rsidRPr="00EF46BC" w:rsidTr="00294C42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294C42" w:rsidRPr="00EF46BC" w:rsidTr="00294C42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EF46BC" w:rsidRDefault="00294C42" w:rsidP="00294C4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94C42" w:rsidRPr="00EF46BC" w:rsidTr="00294C4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Общая протяженность освещенных частей улиц, проездов, набережных на конец года, 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294C42" w:rsidRPr="00EF46BC" w:rsidTr="00294C42">
        <w:trPr>
          <w:trHeight w:val="4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тепловых и паровых сетей, которые были заменены и отремонтированы за отчетный год, 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924B21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294C42" w:rsidRPr="003B0834" w:rsidTr="00294C4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B0834" w:rsidRDefault="00294C42" w:rsidP="00294C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sz w:val="28"/>
                <w:szCs w:val="28"/>
              </w:rPr>
              <w:t xml:space="preserve">Одиночное протяжение уличной водопроводной сети, которая заменена и отремонтирована за отчетный год, </w:t>
            </w:r>
            <w:proofErr w:type="gramStart"/>
            <w:r w:rsidRPr="003B08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B0834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B0834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891602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B0834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294C42" w:rsidRPr="00EF46BC" w:rsidTr="00294C4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D" w:rsidRPr="00EF46BC" w:rsidRDefault="003479FD" w:rsidP="003479F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294C42" w:rsidRPr="00EF46BC">
              <w:rPr>
                <w:sz w:val="28"/>
                <w:szCs w:val="28"/>
              </w:rPr>
              <w:t>отремонтированных памятников и воинских захоронений, расположенных на территории</w:t>
            </w:r>
            <w:r w:rsidR="00294C42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Сычевский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</w:t>
            </w:r>
            <w:r w:rsidR="003147A5">
              <w:rPr>
                <w:bCs/>
                <w:sz w:val="28"/>
                <w:szCs w:val="28"/>
              </w:rPr>
              <w:t>Смоленской  области</w:t>
            </w:r>
          </w:p>
          <w:p w:rsidR="00294C42" w:rsidRPr="00EF46BC" w:rsidRDefault="00294C42" w:rsidP="00294C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294C42" w:rsidRPr="00EF46BC" w:rsidRDefault="00294C42" w:rsidP="00294C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973"/>
        <w:gridCol w:w="2947"/>
        <w:gridCol w:w="3291"/>
      </w:tblGrid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№N </w:t>
            </w:r>
            <w:proofErr w:type="spellStart"/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«Создание условий для устойчивого развития и функционирования жилищно-коммунального хозяйства»</w:t>
            </w:r>
          </w:p>
        </w:tc>
      </w:tr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FD" w:rsidRDefault="00294C42" w:rsidP="003479FD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 xml:space="preserve">Обеспечение устойчивого функционирования объектов жилищно-коммунального хозяйства </w:t>
            </w:r>
            <w:proofErr w:type="gramStart"/>
            <w:r w:rsidR="003479FD">
              <w:rPr>
                <w:bCs/>
                <w:sz w:val="28"/>
                <w:szCs w:val="28"/>
              </w:rPr>
              <w:t>г</w:t>
            </w:r>
            <w:proofErr w:type="gramEnd"/>
            <w:r w:rsidR="003479F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3479F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3479FD">
              <w:rPr>
                <w:bCs/>
                <w:sz w:val="28"/>
                <w:szCs w:val="28"/>
              </w:rPr>
              <w:t xml:space="preserve"> муниципальный округ» </w:t>
            </w:r>
          </w:p>
          <w:p w:rsidR="003479FD" w:rsidRPr="00EF46BC" w:rsidRDefault="003147A5" w:rsidP="003479F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Смоленской  области</w:t>
            </w:r>
          </w:p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степени износа систем жизнеобеспечения путем реконструкции существующих сетей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, увеличение протяженности реконструируемых сетей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1. Общая протяженность освещенных частей улиц, проездо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набережных на конец года,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  <w:p w:rsidR="00294C42" w:rsidRPr="00EF46BC" w:rsidRDefault="00294C42" w:rsidP="00387914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Протяженность тепловых и паровых сетей, которые были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br/>
              <w:t>заменены и 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емонтированы за отчетный год,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  <w:p w:rsidR="00294C42" w:rsidRPr="00EF46BC" w:rsidRDefault="00294C42" w:rsidP="00387914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3. Одиночное протяжение уличной водопроводной сети, которая заменена и отремонтирована за отчетный год, 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</w:tr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left="-709" w:right="-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479FD" w:rsidRDefault="00294C42" w:rsidP="003479FD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>Комплекс процессных мероприятий</w:t>
            </w:r>
            <w:r w:rsidR="0058180D">
              <w:rPr>
                <w:sz w:val="28"/>
                <w:szCs w:val="28"/>
              </w:rPr>
              <w:t>, форм и методов работы</w:t>
            </w:r>
            <w:r w:rsidRPr="00EF46BC">
              <w:rPr>
                <w:sz w:val="28"/>
                <w:szCs w:val="28"/>
              </w:rPr>
              <w:t xml:space="preserve"> «Совершенствование системы патриотического воспитания граждан в </w:t>
            </w:r>
            <w:proofErr w:type="gramStart"/>
            <w:r w:rsidR="003479FD">
              <w:rPr>
                <w:bCs/>
                <w:sz w:val="28"/>
                <w:szCs w:val="28"/>
              </w:rPr>
              <w:t>г</w:t>
            </w:r>
            <w:proofErr w:type="gramEnd"/>
            <w:r w:rsidR="003479F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3479F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3479FD">
              <w:rPr>
                <w:bCs/>
                <w:sz w:val="28"/>
                <w:szCs w:val="28"/>
              </w:rPr>
              <w:t xml:space="preserve"> муниципальный округ»  </w:t>
            </w:r>
            <w:r w:rsidR="003479FD"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</w:tr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4C42" w:rsidRPr="00EF46BC" w:rsidTr="003879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left="-993" w:right="-629"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населения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Сычевка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 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294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Сохранение исторической памяти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DA" w:rsidRDefault="00294C42" w:rsidP="0058180D">
            <w:pPr>
              <w:jc w:val="center"/>
              <w:rPr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 xml:space="preserve">Количество отремонтированных памятников и воинских захоронений, расположенных </w:t>
            </w:r>
          </w:p>
          <w:p w:rsidR="0058180D" w:rsidRDefault="00294C42" w:rsidP="0058180D">
            <w:pPr>
              <w:jc w:val="center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>на территории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58180D">
              <w:rPr>
                <w:bCs/>
                <w:sz w:val="28"/>
                <w:szCs w:val="28"/>
              </w:rPr>
              <w:t>г</w:t>
            </w:r>
            <w:proofErr w:type="gramEnd"/>
            <w:r w:rsidR="0058180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58180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58180D">
              <w:rPr>
                <w:bCs/>
                <w:sz w:val="28"/>
                <w:szCs w:val="28"/>
              </w:rPr>
              <w:t xml:space="preserve"> муниципальный округ» </w:t>
            </w:r>
          </w:p>
          <w:p w:rsidR="00294C42" w:rsidRPr="0058180D" w:rsidRDefault="0058180D" w:rsidP="0058180D">
            <w:pPr>
              <w:jc w:val="center"/>
              <w:rPr>
                <w:bCs/>
                <w:sz w:val="28"/>
                <w:szCs w:val="28"/>
              </w:rPr>
            </w:pPr>
            <w:r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</w:tr>
    </w:tbl>
    <w:p w:rsidR="00294C42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CDA" w:rsidRDefault="00667CDA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CDA" w:rsidRPr="00EF46BC" w:rsidRDefault="00667CDA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1266"/>
        <w:gridCol w:w="1411"/>
        <w:gridCol w:w="1269"/>
        <w:gridCol w:w="1378"/>
      </w:tblGrid>
      <w:tr w:rsidR="00294C42" w:rsidRPr="00EF46BC" w:rsidTr="00387914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294C42" w:rsidRPr="00EF46BC" w:rsidTr="003879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EF46BC" w:rsidRDefault="00294C42" w:rsidP="0038791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EF46BC" w:rsidRDefault="00294C42" w:rsidP="0038791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94C42" w:rsidRPr="00EF46BC" w:rsidTr="003879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Default="00294C42" w:rsidP="0058180D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 xml:space="preserve">Муниципальная программа </w:t>
            </w:r>
            <w:r w:rsidRPr="00EF46BC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</w:p>
          <w:p w:rsidR="00294C42" w:rsidRPr="002E307A" w:rsidRDefault="0058180D" w:rsidP="0038791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Сычевка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Сычевский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</w:t>
            </w:r>
            <w:r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32099,35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4221,65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53774,10</w:t>
            </w:r>
          </w:p>
        </w:tc>
      </w:tr>
      <w:tr w:rsidR="00294C42" w:rsidRPr="00EF46BC" w:rsidTr="003879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45575,73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6B78F5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8F5">
              <w:rPr>
                <w:rFonts w:ascii="Times New Roman" w:hAnsi="Times New Roman" w:cs="Times New Roman"/>
                <w:sz w:val="28"/>
                <w:szCs w:val="28"/>
              </w:rPr>
              <w:t>13282,5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6B78F5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8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6B78F5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B78F5">
              <w:rPr>
                <w:sz w:val="28"/>
                <w:szCs w:val="28"/>
              </w:rPr>
              <w:t>32293,23</w:t>
            </w:r>
          </w:p>
        </w:tc>
      </w:tr>
      <w:tr w:rsidR="00294C42" w:rsidRPr="00EF46BC" w:rsidTr="003879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both"/>
              <w:rPr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25993,47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6B78F5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8F5">
              <w:rPr>
                <w:rFonts w:ascii="Times New Roman" w:hAnsi="Times New Roman" w:cs="Times New Roman"/>
                <w:sz w:val="28"/>
                <w:szCs w:val="28"/>
              </w:rPr>
              <w:t>8281,7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6B78F5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8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6B78F5" w:rsidRDefault="00294C42" w:rsidP="00387914">
            <w:pPr>
              <w:pStyle w:val="13"/>
              <w:ind w:firstLine="0"/>
              <w:jc w:val="center"/>
              <w:rPr>
                <w:sz w:val="28"/>
                <w:szCs w:val="28"/>
              </w:rPr>
            </w:pPr>
            <w:r w:rsidRPr="006B78F5">
              <w:rPr>
                <w:sz w:val="28"/>
                <w:szCs w:val="28"/>
              </w:rPr>
              <w:t>17711,77</w:t>
            </w:r>
          </w:p>
        </w:tc>
      </w:tr>
      <w:tr w:rsidR="00294C42" w:rsidRPr="00EF46BC" w:rsidTr="003879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B0834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sz w:val="28"/>
                <w:szCs w:val="28"/>
              </w:rPr>
              <w:t>Бюджет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3B083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10535,15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>4221,65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141">
              <w:rPr>
                <w:rFonts w:ascii="Times New Roman" w:hAnsi="Times New Roman" w:cs="Times New Roman"/>
                <w:sz w:val="28"/>
                <w:szCs w:val="28"/>
              </w:rPr>
              <w:t>3769,1</w:t>
            </w:r>
            <w:r w:rsidRPr="00E91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94C42" w:rsidRDefault="00294C42" w:rsidP="00294C42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4C42" w:rsidRPr="00EF46BC" w:rsidRDefault="00294C42" w:rsidP="00294C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 xml:space="preserve">к паспорту </w:t>
      </w:r>
      <w:proofErr w:type="gramStart"/>
      <w:r w:rsidRPr="00EF46B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F4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C42" w:rsidRDefault="00294C42" w:rsidP="00294C4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Pr="00EF46BC"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Комплексное</w:t>
      </w:r>
      <w:proofErr w:type="gramEnd"/>
      <w:r>
        <w:rPr>
          <w:bCs/>
          <w:sz w:val="28"/>
          <w:szCs w:val="28"/>
        </w:rPr>
        <w:t xml:space="preserve"> </w:t>
      </w:r>
    </w:p>
    <w:p w:rsidR="00294C42" w:rsidRDefault="00294C42" w:rsidP="00294C4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систем </w:t>
      </w:r>
      <w:proofErr w:type="gramStart"/>
      <w:r>
        <w:rPr>
          <w:bCs/>
          <w:sz w:val="28"/>
          <w:szCs w:val="28"/>
        </w:rPr>
        <w:t>коммунальной</w:t>
      </w:r>
      <w:proofErr w:type="gramEnd"/>
      <w:r>
        <w:rPr>
          <w:bCs/>
          <w:sz w:val="28"/>
          <w:szCs w:val="28"/>
        </w:rPr>
        <w:t xml:space="preserve"> </w:t>
      </w:r>
    </w:p>
    <w:p w:rsidR="0058180D" w:rsidRDefault="00294C42" w:rsidP="00294C4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инфраструктуры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Сычевка</w:t>
      </w:r>
      <w:r w:rsidR="0058180D">
        <w:rPr>
          <w:bCs/>
          <w:sz w:val="28"/>
          <w:szCs w:val="28"/>
        </w:rPr>
        <w:t xml:space="preserve"> </w:t>
      </w:r>
    </w:p>
    <w:p w:rsidR="00294C42" w:rsidRDefault="0058180D" w:rsidP="00294C4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="00294C42">
        <w:rPr>
          <w:bCs/>
          <w:sz w:val="28"/>
          <w:szCs w:val="28"/>
        </w:rPr>
        <w:t xml:space="preserve"> </w:t>
      </w:r>
    </w:p>
    <w:p w:rsidR="00294C42" w:rsidRDefault="0058180D" w:rsidP="00294C4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="00294C42">
        <w:rPr>
          <w:bCs/>
          <w:sz w:val="28"/>
          <w:szCs w:val="28"/>
        </w:rPr>
        <w:t xml:space="preserve"> </w:t>
      </w:r>
    </w:p>
    <w:p w:rsidR="00294C42" w:rsidRPr="00EF46BC" w:rsidRDefault="0058180D" w:rsidP="00294C4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округ</w:t>
      </w:r>
      <w:r w:rsidR="00294C42">
        <w:rPr>
          <w:bCs/>
          <w:sz w:val="28"/>
          <w:szCs w:val="28"/>
        </w:rPr>
        <w:t xml:space="preserve">» </w:t>
      </w:r>
      <w:r w:rsidR="003147A5">
        <w:rPr>
          <w:bCs/>
          <w:sz w:val="28"/>
          <w:szCs w:val="28"/>
        </w:rPr>
        <w:t>Смоленской  области</w:t>
      </w:r>
    </w:p>
    <w:p w:rsidR="00294C42" w:rsidRPr="00EF46BC" w:rsidRDefault="00294C42" w:rsidP="00294C42">
      <w:pPr>
        <w:jc w:val="center"/>
        <w:rPr>
          <w:sz w:val="28"/>
          <w:szCs w:val="28"/>
          <w:u w:val="single"/>
        </w:rPr>
      </w:pPr>
      <w:r w:rsidRPr="00EF46BC">
        <w:rPr>
          <w:sz w:val="28"/>
          <w:szCs w:val="28"/>
          <w:u w:val="single"/>
        </w:rPr>
        <w:t xml:space="preserve"> </w:t>
      </w:r>
    </w:p>
    <w:p w:rsidR="00294C42" w:rsidRPr="00EF46BC" w:rsidRDefault="00294C42" w:rsidP="00294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294C42" w:rsidRPr="00EF46BC" w:rsidRDefault="00294C42" w:rsidP="00294C4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17"/>
        <w:gridCol w:w="4536"/>
      </w:tblGrid>
      <w:tr w:rsidR="00294C42" w:rsidRPr="00EF46BC" w:rsidTr="003879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или источник получения информации </w:t>
            </w:r>
          </w:p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94C42" w:rsidRPr="00EF46BC" w:rsidTr="003879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Общая протяженность освещенных частей улиц, проездов, набережных на конец года, 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Сведения об объектах инфраструктуры муниципального образования (форма №1-МО), утвержденная приказом Росстата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от 27.07.2021 г.  №445</w:t>
            </w:r>
          </w:p>
        </w:tc>
      </w:tr>
      <w:tr w:rsidR="00294C42" w:rsidRPr="00EF46BC" w:rsidTr="003879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Протяженность тепловых и паровых сетей, которые были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заменены и отремонтированы за отчетный год, 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Сведения об объектах инфраструктуры муниципального образования (форма №1-МО), утвержденная приказом Росстата  от 27.07.2021г. №445</w:t>
            </w:r>
          </w:p>
        </w:tc>
      </w:tr>
      <w:tr w:rsidR="00294C42" w:rsidRPr="00EF46BC" w:rsidTr="003879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Одиночное протяжение уличной водопроводной сети, 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которая заменена и отремонтирована за отчетный год, </w:t>
            </w: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объектах инфраструктуры муниципального образования (форма №1-МО), утвержденная приказом Росстата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от 27.07.2021 г. №445</w:t>
            </w:r>
          </w:p>
        </w:tc>
      </w:tr>
      <w:tr w:rsidR="00294C42" w:rsidRPr="00EF46BC" w:rsidTr="0038791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0D" w:rsidRDefault="00294C42" w:rsidP="0058180D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 xml:space="preserve">Количество отремонтированных памятников и воинских захоронений, расположенных на территории </w:t>
            </w:r>
            <w:proofErr w:type="gramStart"/>
            <w:r w:rsidR="0058180D">
              <w:rPr>
                <w:bCs/>
                <w:sz w:val="28"/>
                <w:szCs w:val="28"/>
              </w:rPr>
              <w:t>г</w:t>
            </w:r>
            <w:proofErr w:type="gramEnd"/>
            <w:r w:rsidR="0058180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58180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58180D">
              <w:rPr>
                <w:bCs/>
                <w:sz w:val="28"/>
                <w:szCs w:val="28"/>
              </w:rPr>
              <w:t xml:space="preserve"> муниципальный округ» </w:t>
            </w:r>
          </w:p>
          <w:p w:rsidR="00294C42" w:rsidRPr="0058180D" w:rsidRDefault="0058180D" w:rsidP="0058180D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294C42" w:rsidRDefault="00294C42" w:rsidP="0058180D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94C42" w:rsidRDefault="00294C42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lastRenderedPageBreak/>
        <w:t>Раздел 3. СВЕДЕНИЯ О РЕГИОНАЛЬНОМ ПРОЕКТЕ</w:t>
      </w:r>
    </w:p>
    <w:p w:rsidR="00294C42" w:rsidRPr="002E307A" w:rsidRDefault="00294C42" w:rsidP="00294C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8180D" w:rsidRPr="00EF46BC" w:rsidRDefault="00294C42" w:rsidP="0058180D">
      <w:pPr>
        <w:jc w:val="both"/>
        <w:rPr>
          <w:bCs/>
          <w:sz w:val="28"/>
          <w:szCs w:val="28"/>
        </w:rPr>
      </w:pPr>
      <w:r w:rsidRPr="002E307A">
        <w:rPr>
          <w:sz w:val="28"/>
          <w:szCs w:val="28"/>
        </w:rPr>
        <w:t>Мероприятия, связанные с реализацией региональных п</w:t>
      </w:r>
      <w:r>
        <w:rPr>
          <w:sz w:val="28"/>
          <w:szCs w:val="28"/>
        </w:rPr>
        <w:t xml:space="preserve">роектов,                            </w:t>
      </w:r>
      <w:r w:rsidRPr="002E307A">
        <w:rPr>
          <w:sz w:val="28"/>
          <w:szCs w:val="28"/>
        </w:rPr>
        <w:t xml:space="preserve">в муниципальной программе </w:t>
      </w:r>
      <w:r w:rsidRPr="002E307A">
        <w:rPr>
          <w:bCs/>
          <w:sz w:val="28"/>
          <w:szCs w:val="28"/>
        </w:rPr>
        <w:t xml:space="preserve">«Комплексное развитие систем коммунальной инфраструктуры </w:t>
      </w:r>
      <w:proofErr w:type="gramStart"/>
      <w:r w:rsidR="0058180D">
        <w:rPr>
          <w:bCs/>
          <w:sz w:val="28"/>
          <w:szCs w:val="28"/>
        </w:rPr>
        <w:t>г</w:t>
      </w:r>
      <w:proofErr w:type="gramEnd"/>
      <w:r w:rsidR="0058180D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58180D">
        <w:rPr>
          <w:bCs/>
          <w:sz w:val="28"/>
          <w:szCs w:val="28"/>
        </w:rPr>
        <w:t>Сычевский</w:t>
      </w:r>
      <w:proofErr w:type="spellEnd"/>
      <w:r w:rsidR="0058180D">
        <w:rPr>
          <w:bCs/>
          <w:sz w:val="28"/>
          <w:szCs w:val="28"/>
        </w:rPr>
        <w:t xml:space="preserve"> муниципальный округ» </w:t>
      </w:r>
      <w:r w:rsidR="003147A5">
        <w:rPr>
          <w:bCs/>
          <w:sz w:val="28"/>
          <w:szCs w:val="28"/>
        </w:rPr>
        <w:t>Смоленской  области</w:t>
      </w:r>
    </w:p>
    <w:p w:rsidR="00294C42" w:rsidRPr="002E307A" w:rsidRDefault="00294C42" w:rsidP="00294C42">
      <w:pPr>
        <w:ind w:firstLine="709"/>
        <w:jc w:val="both"/>
        <w:rPr>
          <w:bCs/>
          <w:sz w:val="28"/>
          <w:szCs w:val="28"/>
        </w:rPr>
      </w:pPr>
    </w:p>
    <w:p w:rsidR="00294C42" w:rsidRDefault="00294C42" w:rsidP="00294C42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294C42" w:rsidRPr="00872073" w:rsidRDefault="00294C42" w:rsidP="00294C42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58180D" w:rsidRPr="00EF46BC" w:rsidRDefault="00294C42" w:rsidP="0058180D">
      <w:pPr>
        <w:jc w:val="center"/>
        <w:rPr>
          <w:bCs/>
          <w:sz w:val="28"/>
          <w:szCs w:val="28"/>
        </w:rPr>
      </w:pPr>
      <w:r w:rsidRPr="00EF46BC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омплекса процессных мероприятий </w:t>
      </w:r>
      <w:r w:rsidRPr="002E307A">
        <w:rPr>
          <w:bCs/>
          <w:sz w:val="28"/>
          <w:szCs w:val="28"/>
        </w:rPr>
        <w:t xml:space="preserve">«Комплексное развитие систем коммунальной инфраструктуры </w:t>
      </w:r>
      <w:proofErr w:type="gramStart"/>
      <w:r w:rsidR="0058180D">
        <w:rPr>
          <w:bCs/>
          <w:sz w:val="28"/>
          <w:szCs w:val="28"/>
        </w:rPr>
        <w:t>г</w:t>
      </w:r>
      <w:proofErr w:type="gramEnd"/>
      <w:r w:rsidR="0058180D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58180D">
        <w:rPr>
          <w:bCs/>
          <w:sz w:val="28"/>
          <w:szCs w:val="28"/>
        </w:rPr>
        <w:t>Сычевский</w:t>
      </w:r>
      <w:proofErr w:type="spellEnd"/>
      <w:r w:rsidR="0058180D">
        <w:rPr>
          <w:bCs/>
          <w:sz w:val="28"/>
          <w:szCs w:val="28"/>
        </w:rPr>
        <w:t xml:space="preserve"> муниципальный округ»  </w:t>
      </w:r>
      <w:r w:rsidR="003147A5">
        <w:rPr>
          <w:bCs/>
          <w:sz w:val="28"/>
          <w:szCs w:val="28"/>
        </w:rPr>
        <w:t>Смоленской  области</w:t>
      </w:r>
    </w:p>
    <w:p w:rsidR="00294C42" w:rsidRPr="00EF46BC" w:rsidRDefault="00294C42" w:rsidP="0058180D">
      <w:pPr>
        <w:jc w:val="center"/>
      </w:pPr>
    </w:p>
    <w:p w:rsidR="00294C42" w:rsidRPr="00EF46BC" w:rsidRDefault="00294C42" w:rsidP="00294C42">
      <w:pPr>
        <w:pStyle w:val="ConsPlusNormal"/>
        <w:jc w:val="both"/>
        <w:rPr>
          <w:rFonts w:ascii="Times New Roman" w:hAnsi="Times New Roman" w:cs="Times New Roman"/>
        </w:rPr>
      </w:pPr>
    </w:p>
    <w:p w:rsidR="00294C42" w:rsidRPr="00EF46BC" w:rsidRDefault="00294C42" w:rsidP="00294C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294C42" w:rsidRPr="00EF46BC" w:rsidTr="0038791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294C42" w:rsidRPr="00EF46BC" w:rsidTr="0038791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2E307A" w:rsidRDefault="00294C42" w:rsidP="00387914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 xml:space="preserve">Муниципальная программа </w:t>
            </w:r>
            <w:r w:rsidRPr="002E307A">
              <w:rPr>
                <w:bCs/>
                <w:sz w:val="28"/>
                <w:szCs w:val="28"/>
              </w:rPr>
              <w:t xml:space="preserve">«Комплексное развитие систем коммунальной инфраструктуры </w:t>
            </w:r>
            <w:proofErr w:type="gramStart"/>
            <w:r w:rsidR="0058180D">
              <w:rPr>
                <w:bCs/>
                <w:sz w:val="28"/>
                <w:szCs w:val="28"/>
              </w:rPr>
              <w:t>г</w:t>
            </w:r>
            <w:proofErr w:type="gramEnd"/>
            <w:r w:rsidR="0058180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58180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58180D">
              <w:rPr>
                <w:bCs/>
                <w:sz w:val="28"/>
                <w:szCs w:val="28"/>
              </w:rPr>
              <w:t xml:space="preserve"> муниципальный округ» </w:t>
            </w:r>
            <w:r w:rsidR="0058180D"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</w:tr>
    </w:tbl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4"/>
        <w:gridCol w:w="1579"/>
        <w:gridCol w:w="1245"/>
        <w:gridCol w:w="1410"/>
        <w:gridCol w:w="1298"/>
      </w:tblGrid>
      <w:tr w:rsidR="00294C42" w:rsidRPr="00EF46BC" w:rsidTr="00387914">
        <w:trPr>
          <w:trHeight w:val="1609"/>
        </w:trPr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94C42" w:rsidRPr="00EF46BC" w:rsidTr="003879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EF46BC" w:rsidRDefault="00294C42" w:rsidP="00387914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94C42" w:rsidRPr="00EF46BC" w:rsidTr="00387914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both"/>
              <w:rPr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>Количество многоквартирных домов, в которых планируется провести текущий и капитальный ремонт, ед.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center"/>
            </w:pPr>
            <w:r w:rsidRPr="00EF46BC">
              <w:rPr>
                <w:sz w:val="28"/>
                <w:szCs w:val="28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center"/>
            </w:pPr>
            <w:r w:rsidRPr="00EF46BC">
              <w:rPr>
                <w:sz w:val="28"/>
                <w:szCs w:val="28"/>
              </w:rPr>
              <w:t>8</w:t>
            </w:r>
          </w:p>
        </w:tc>
      </w:tr>
    </w:tbl>
    <w:p w:rsidR="00294C42" w:rsidRPr="00EF46BC" w:rsidRDefault="00294C42" w:rsidP="00294C42">
      <w:pPr>
        <w:pStyle w:val="ConsPlusNormal"/>
        <w:ind w:firstLine="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55C04" w:rsidRDefault="00355C04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294C42" w:rsidRDefault="00294C42" w:rsidP="0058180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80D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="0058180D" w:rsidRPr="0058180D">
        <w:rPr>
          <w:rFonts w:ascii="Times New Roman" w:hAnsi="Times New Roman" w:cs="Times New Roman"/>
          <w:sz w:val="28"/>
          <w:szCs w:val="28"/>
        </w:rPr>
        <w:t xml:space="preserve">«Совершенствование системы патриотического воспитания граждан в </w:t>
      </w:r>
      <w:proofErr w:type="gramStart"/>
      <w:r w:rsidR="0058180D" w:rsidRPr="0058180D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58180D" w:rsidRPr="0058180D">
        <w:rPr>
          <w:rFonts w:ascii="Times New Roman" w:hAnsi="Times New Roman" w:cs="Times New Roman"/>
          <w:bCs/>
          <w:sz w:val="28"/>
          <w:szCs w:val="28"/>
        </w:rPr>
        <w:t>. Сычевка муниципального образования «</w:t>
      </w:r>
      <w:proofErr w:type="spellStart"/>
      <w:r w:rsidR="0058180D" w:rsidRPr="0058180D">
        <w:rPr>
          <w:rFonts w:ascii="Times New Roman" w:hAnsi="Times New Roman" w:cs="Times New Roman"/>
          <w:bCs/>
          <w:sz w:val="28"/>
          <w:szCs w:val="28"/>
        </w:rPr>
        <w:t>Сычевский</w:t>
      </w:r>
      <w:proofErr w:type="spellEnd"/>
      <w:r w:rsidR="0058180D" w:rsidRPr="0058180D">
        <w:rPr>
          <w:rFonts w:ascii="Times New Roman" w:hAnsi="Times New Roman" w:cs="Times New Roman"/>
          <w:bCs/>
          <w:sz w:val="28"/>
          <w:szCs w:val="28"/>
        </w:rPr>
        <w:t xml:space="preserve"> муниципаль</w:t>
      </w:r>
      <w:r w:rsidR="003147A5">
        <w:rPr>
          <w:rFonts w:ascii="Times New Roman" w:hAnsi="Times New Roman" w:cs="Times New Roman"/>
          <w:bCs/>
          <w:sz w:val="28"/>
          <w:szCs w:val="28"/>
        </w:rPr>
        <w:t>ный округ»  Смоленской  области</w:t>
      </w:r>
    </w:p>
    <w:p w:rsidR="0058180D" w:rsidRPr="0058180D" w:rsidRDefault="0058180D" w:rsidP="0058180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94C42" w:rsidRPr="00EF46BC" w:rsidRDefault="00294C42" w:rsidP="00294C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495"/>
      </w:tblGrid>
      <w:tr w:rsidR="00294C42" w:rsidRPr="00EF46BC" w:rsidTr="00294C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294C42" w:rsidRPr="00EF46BC" w:rsidTr="00294C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2E307A" w:rsidRDefault="00294C42" w:rsidP="00294C42">
            <w:pPr>
              <w:jc w:val="both"/>
              <w:rPr>
                <w:bCs/>
                <w:sz w:val="28"/>
                <w:szCs w:val="28"/>
              </w:rPr>
            </w:pPr>
            <w:r w:rsidRPr="00EF46BC">
              <w:rPr>
                <w:sz w:val="28"/>
                <w:szCs w:val="28"/>
              </w:rPr>
              <w:t xml:space="preserve">Муниципальная программа </w:t>
            </w:r>
            <w:r w:rsidRPr="002E307A">
              <w:rPr>
                <w:bCs/>
                <w:sz w:val="28"/>
                <w:szCs w:val="28"/>
              </w:rPr>
              <w:t xml:space="preserve">«Комплексное развитие систем коммунальной инфраструктуры </w:t>
            </w:r>
            <w:proofErr w:type="gramStart"/>
            <w:r w:rsidR="0058180D">
              <w:rPr>
                <w:bCs/>
                <w:sz w:val="28"/>
                <w:szCs w:val="28"/>
              </w:rPr>
              <w:t>г</w:t>
            </w:r>
            <w:proofErr w:type="gramEnd"/>
            <w:r w:rsidR="0058180D">
              <w:rPr>
                <w:bCs/>
                <w:sz w:val="28"/>
                <w:szCs w:val="28"/>
              </w:rPr>
              <w:t>. Сычевка муниципального образования «</w:t>
            </w:r>
            <w:proofErr w:type="spellStart"/>
            <w:r w:rsidR="0058180D">
              <w:rPr>
                <w:bCs/>
                <w:sz w:val="28"/>
                <w:szCs w:val="28"/>
              </w:rPr>
              <w:t>Сычевский</w:t>
            </w:r>
            <w:proofErr w:type="spellEnd"/>
            <w:r w:rsidR="0058180D">
              <w:rPr>
                <w:bCs/>
                <w:sz w:val="28"/>
                <w:szCs w:val="28"/>
              </w:rPr>
              <w:t xml:space="preserve"> муниципальный округ» </w:t>
            </w:r>
            <w:r w:rsidR="0058180D" w:rsidRPr="00EF46BC">
              <w:rPr>
                <w:bCs/>
                <w:sz w:val="28"/>
                <w:szCs w:val="28"/>
              </w:rPr>
              <w:t>Смоленской  области</w:t>
            </w:r>
          </w:p>
        </w:tc>
      </w:tr>
    </w:tbl>
    <w:p w:rsidR="00294C42" w:rsidRPr="00EF46BC" w:rsidRDefault="00294C42" w:rsidP="00294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3147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46BC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2"/>
        <w:gridCol w:w="1579"/>
        <w:gridCol w:w="1275"/>
        <w:gridCol w:w="1368"/>
        <w:gridCol w:w="1292"/>
      </w:tblGrid>
      <w:tr w:rsidR="00294C42" w:rsidRPr="00EF46BC" w:rsidTr="00387914">
        <w:trPr>
          <w:trHeight w:val="1609"/>
        </w:trPr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294C42" w:rsidRPr="00EF46BC" w:rsidTr="003879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EF46BC" w:rsidRDefault="00294C42" w:rsidP="00387914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46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94C42" w:rsidRPr="00EF46BC" w:rsidTr="00387914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B0834" w:rsidRDefault="00294C42" w:rsidP="00387914">
            <w:pPr>
              <w:jc w:val="both"/>
              <w:rPr>
                <w:sz w:val="28"/>
                <w:szCs w:val="28"/>
              </w:rPr>
            </w:pPr>
            <w:r w:rsidRPr="003B0834">
              <w:rPr>
                <w:sz w:val="28"/>
                <w:szCs w:val="28"/>
              </w:rPr>
              <w:t>Количество восстановленных, отремонтированных и благоустроенных мест воинских захоронений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B0834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center"/>
            </w:pPr>
            <w:r w:rsidRPr="00EF46B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EF46BC" w:rsidRDefault="00294C42" w:rsidP="00387914">
            <w:pPr>
              <w:jc w:val="center"/>
            </w:pPr>
            <w:r w:rsidRPr="00EF46BC">
              <w:rPr>
                <w:sz w:val="28"/>
                <w:szCs w:val="28"/>
              </w:rPr>
              <w:t xml:space="preserve">1 </w:t>
            </w:r>
          </w:p>
        </w:tc>
      </w:tr>
    </w:tbl>
    <w:p w:rsidR="00294C42" w:rsidRPr="00EF46BC" w:rsidRDefault="00294C42" w:rsidP="00294C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4C42" w:rsidRPr="00EF46BC" w:rsidRDefault="00294C42" w:rsidP="00294C4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 xml:space="preserve">Раздел 5. ПРИМЕНЕНИЕ МЕР ГОСУДАРСТВЕННОГО И МУНИЦИПАЛЬНОГО РЕГУЛИРОВАНИЯ В ЧАСТИ НАЛОГОВЫХ ЛЬГОТ, ОСВОБОЖДЕНИЙ И ИНЫХ ПРЕФЕРЕНЦИЙ ПО НАЛОГАМ И СБОРАМ </w:t>
      </w:r>
    </w:p>
    <w:p w:rsidR="00294C42" w:rsidRPr="00EF46BC" w:rsidRDefault="00294C42" w:rsidP="00294C4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>В СФЕРЕ РЕАЛИЗАЦИИ МУНИЦИПАЛЬНОЙ ПРОГРАММЫ</w:t>
      </w:r>
    </w:p>
    <w:p w:rsidR="00294C42" w:rsidRPr="00EF46BC" w:rsidRDefault="00294C42" w:rsidP="00294C42">
      <w:pPr>
        <w:pStyle w:val="ConsPlusNormal"/>
        <w:jc w:val="both"/>
        <w:rPr>
          <w:rFonts w:ascii="Times New Roman" w:hAnsi="Times New Roman" w:cs="Times New Roman"/>
        </w:rPr>
      </w:pPr>
    </w:p>
    <w:p w:rsidR="00294C42" w:rsidRPr="002E307A" w:rsidRDefault="00294C42" w:rsidP="00294C4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6BC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            в рамках реализации муниципальной программы не предусмотрены.</w:t>
      </w:r>
    </w:p>
    <w:p w:rsidR="003147A5" w:rsidRDefault="003147A5" w:rsidP="0058180D">
      <w:pPr>
        <w:pStyle w:val="1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55C04" w:rsidRDefault="00355C04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355C04" w:rsidRDefault="00355C04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355C04" w:rsidRDefault="00355C04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355C04" w:rsidRDefault="00355C04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355C04" w:rsidRDefault="00355C04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355C04" w:rsidRDefault="00355C04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294C42" w:rsidRPr="00EF46BC" w:rsidRDefault="00294C42" w:rsidP="00294C42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EF46BC">
        <w:rPr>
          <w:sz w:val="28"/>
          <w:szCs w:val="28"/>
        </w:rPr>
        <w:lastRenderedPageBreak/>
        <w:t>Раздел 6. СВЕДЕНИЯ</w:t>
      </w:r>
    </w:p>
    <w:p w:rsidR="00667CDA" w:rsidRDefault="00294C42" w:rsidP="0058180D">
      <w:pPr>
        <w:jc w:val="center"/>
        <w:rPr>
          <w:bCs/>
          <w:sz w:val="28"/>
          <w:szCs w:val="28"/>
        </w:rPr>
      </w:pPr>
      <w:r w:rsidRPr="00EF46BC">
        <w:rPr>
          <w:sz w:val="28"/>
          <w:szCs w:val="28"/>
        </w:rPr>
        <w:t>о финансировании структурных элементов</w:t>
      </w:r>
      <w:r w:rsidRPr="00EF46BC">
        <w:rPr>
          <w:sz w:val="28"/>
          <w:szCs w:val="28"/>
        </w:rPr>
        <w:br/>
        <w:t xml:space="preserve">муниципальной программы </w:t>
      </w:r>
      <w:r w:rsidRPr="00EF46BC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Комплексное развитие систем коммунальной инфраструктуры </w:t>
      </w:r>
      <w:proofErr w:type="gramStart"/>
      <w:r w:rsidR="0058180D">
        <w:rPr>
          <w:bCs/>
          <w:sz w:val="28"/>
          <w:szCs w:val="28"/>
        </w:rPr>
        <w:t>г</w:t>
      </w:r>
      <w:proofErr w:type="gramEnd"/>
      <w:r w:rsidR="0058180D">
        <w:rPr>
          <w:bCs/>
          <w:sz w:val="28"/>
          <w:szCs w:val="28"/>
        </w:rPr>
        <w:t>. Сычевка муниципального образования «</w:t>
      </w:r>
      <w:proofErr w:type="spellStart"/>
      <w:r w:rsidR="0058180D">
        <w:rPr>
          <w:bCs/>
          <w:sz w:val="28"/>
          <w:szCs w:val="28"/>
        </w:rPr>
        <w:t>Сычевский</w:t>
      </w:r>
      <w:proofErr w:type="spellEnd"/>
      <w:r w:rsidR="0058180D">
        <w:rPr>
          <w:bCs/>
          <w:sz w:val="28"/>
          <w:szCs w:val="28"/>
        </w:rPr>
        <w:t xml:space="preserve"> муниципальный округ» </w:t>
      </w:r>
      <w:r w:rsidR="003147A5">
        <w:rPr>
          <w:bCs/>
          <w:sz w:val="28"/>
          <w:szCs w:val="28"/>
        </w:rPr>
        <w:t>Смоленской  области</w:t>
      </w:r>
    </w:p>
    <w:p w:rsidR="00667CDA" w:rsidRPr="00AF03C1" w:rsidRDefault="00667CDA" w:rsidP="0058180D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2825"/>
        <w:gridCol w:w="1670"/>
        <w:gridCol w:w="1152"/>
        <w:gridCol w:w="1134"/>
        <w:gridCol w:w="1132"/>
        <w:gridCol w:w="1116"/>
      </w:tblGrid>
      <w:tr w:rsidR="00294C42" w:rsidRPr="00355C04" w:rsidTr="00667CDA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№</w:t>
            </w:r>
          </w:p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C0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55C04">
              <w:rPr>
                <w:sz w:val="22"/>
                <w:szCs w:val="22"/>
              </w:rPr>
              <w:t>/</w:t>
            </w:r>
            <w:proofErr w:type="spellStart"/>
            <w:r w:rsidRPr="00355C0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Объем средств на реализацию муниципальной программы </w:t>
            </w:r>
          </w:p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на очередной финансовый год и плановый период (по этапам реализации), тыс</w:t>
            </w:r>
            <w:proofErr w:type="gramStart"/>
            <w:r w:rsidRPr="00355C04">
              <w:rPr>
                <w:sz w:val="22"/>
                <w:szCs w:val="22"/>
              </w:rPr>
              <w:t>.р</w:t>
            </w:r>
            <w:proofErr w:type="gramEnd"/>
            <w:r w:rsidRPr="00355C04">
              <w:rPr>
                <w:sz w:val="22"/>
                <w:szCs w:val="22"/>
              </w:rPr>
              <w:t>уб.</w:t>
            </w:r>
          </w:p>
        </w:tc>
      </w:tr>
      <w:tr w:rsidR="00294C42" w:rsidRPr="00355C04" w:rsidTr="00667CDA"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2026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2027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2028 год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0D" w:rsidRPr="00355C04" w:rsidRDefault="00294C42" w:rsidP="00387914">
            <w:pPr>
              <w:jc w:val="both"/>
              <w:rPr>
                <w:bCs/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Комплекс процессных мероприятий </w:t>
            </w:r>
            <w:r w:rsidRPr="00355C04">
              <w:rPr>
                <w:bCs/>
                <w:sz w:val="22"/>
                <w:szCs w:val="22"/>
              </w:rPr>
              <w:t xml:space="preserve">«Комплексное развитие систем коммунальной инфраструктуры </w:t>
            </w:r>
          </w:p>
          <w:p w:rsidR="00294C42" w:rsidRPr="00355C04" w:rsidRDefault="0058180D" w:rsidP="003147A5">
            <w:pPr>
              <w:jc w:val="both"/>
              <w:rPr>
                <w:bCs/>
                <w:sz w:val="22"/>
                <w:szCs w:val="22"/>
              </w:rPr>
            </w:pPr>
            <w:r w:rsidRPr="00355C04">
              <w:rPr>
                <w:bCs/>
                <w:sz w:val="22"/>
                <w:szCs w:val="22"/>
              </w:rPr>
              <w:t>г</w:t>
            </w:r>
            <w:proofErr w:type="gramStart"/>
            <w:r w:rsidRPr="00355C04">
              <w:rPr>
                <w:bCs/>
                <w:sz w:val="22"/>
                <w:szCs w:val="22"/>
              </w:rPr>
              <w:t>.С</w:t>
            </w:r>
            <w:proofErr w:type="gramEnd"/>
            <w:r w:rsidRPr="00355C04">
              <w:rPr>
                <w:bCs/>
                <w:sz w:val="22"/>
                <w:szCs w:val="22"/>
              </w:rPr>
              <w:t>ычевка муниципального образования «</w:t>
            </w:r>
            <w:proofErr w:type="spellStart"/>
            <w:r w:rsidRPr="00355C04">
              <w:rPr>
                <w:bCs/>
                <w:sz w:val="22"/>
                <w:szCs w:val="22"/>
              </w:rPr>
              <w:t>Сычевский</w:t>
            </w:r>
            <w:proofErr w:type="spellEnd"/>
            <w:r w:rsidRPr="00355C04">
              <w:rPr>
                <w:bCs/>
                <w:sz w:val="22"/>
                <w:szCs w:val="22"/>
              </w:rPr>
              <w:t xml:space="preserve"> муниципальный округ» Смоленской  области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1.1.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Строительство, реконструкция, ремонт системы водоснабжения (станции обезжелезивания), ремонт канализации, замена насосов водонапорных башен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1891,0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64,1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1.1.1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Текущий ремонт водопроводных сетей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700,00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50,0</w:t>
            </w:r>
          </w:p>
        </w:tc>
      </w:tr>
      <w:tr w:rsidR="00294C42" w:rsidRPr="00355C04" w:rsidTr="00667CDA">
        <w:trPr>
          <w:trHeight w:val="46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1.1.2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294C4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 xml:space="preserve">Капитальный ремонт сети водоснабжения по ул. Луначарского от д.8 до д.81 в </w:t>
            </w:r>
            <w:proofErr w:type="gramStart"/>
            <w:r w:rsidRPr="00355C04">
              <w:rPr>
                <w:color w:val="auto"/>
                <w:sz w:val="22"/>
                <w:szCs w:val="22"/>
              </w:rPr>
              <w:t>г</w:t>
            </w:r>
            <w:proofErr w:type="gramEnd"/>
            <w:r w:rsidRPr="00355C04">
              <w:rPr>
                <w:color w:val="auto"/>
                <w:sz w:val="22"/>
                <w:szCs w:val="22"/>
              </w:rPr>
              <w:t>. Сычевка «</w:t>
            </w:r>
            <w:proofErr w:type="spellStart"/>
            <w:r w:rsidRPr="00355C04">
              <w:rPr>
                <w:color w:val="auto"/>
                <w:sz w:val="22"/>
                <w:szCs w:val="22"/>
              </w:rPr>
              <w:t>Сычевского</w:t>
            </w:r>
            <w:proofErr w:type="spellEnd"/>
            <w:r w:rsidRPr="00355C04">
              <w:rPr>
                <w:color w:val="auto"/>
                <w:sz w:val="22"/>
                <w:szCs w:val="22"/>
              </w:rPr>
              <w:t xml:space="preserve"> муниципального округа» Смоленской области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2,06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</w:tr>
      <w:tr w:rsidR="00294C42" w:rsidRPr="00355C04" w:rsidTr="00667CDA">
        <w:trPr>
          <w:trHeight w:val="54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7281,7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C04">
              <w:rPr>
                <w:rFonts w:ascii="Times New Roman" w:hAnsi="Times New Roman" w:cs="Times New Roman"/>
                <w:sz w:val="22"/>
                <w:szCs w:val="22"/>
              </w:rPr>
              <w:t>7281,7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</w:tr>
      <w:tr w:rsidR="00294C42" w:rsidRPr="00355C04" w:rsidTr="00667CDA">
        <w:trPr>
          <w:trHeight w:val="585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13282,5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C04">
              <w:rPr>
                <w:rFonts w:ascii="Times New Roman" w:hAnsi="Times New Roman" w:cs="Times New Roman"/>
                <w:sz w:val="22"/>
                <w:szCs w:val="22"/>
              </w:rPr>
              <w:t>13282,5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</w:tr>
      <w:tr w:rsidR="00294C42" w:rsidRPr="00355C04" w:rsidTr="00667CDA">
        <w:trPr>
          <w:trHeight w:val="504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 xml:space="preserve">Капитальный ремонт сети водоснабжения </w:t>
            </w:r>
          </w:p>
          <w:p w:rsidR="00294C42" w:rsidRPr="00355C04" w:rsidRDefault="00294C42" w:rsidP="00294C4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 xml:space="preserve">в </w:t>
            </w:r>
            <w:proofErr w:type="gramStart"/>
            <w:r w:rsidRPr="00355C04">
              <w:rPr>
                <w:color w:val="auto"/>
                <w:sz w:val="22"/>
                <w:szCs w:val="22"/>
              </w:rPr>
              <w:t>г</w:t>
            </w:r>
            <w:proofErr w:type="gramEnd"/>
            <w:r w:rsidRPr="00355C04">
              <w:rPr>
                <w:color w:val="auto"/>
                <w:sz w:val="22"/>
                <w:szCs w:val="22"/>
              </w:rPr>
              <w:t>. Сычевка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Федеральный бюджет,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32293,23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32293,23</w:t>
            </w:r>
          </w:p>
        </w:tc>
      </w:tr>
      <w:tr w:rsidR="00294C42" w:rsidRPr="00355C04" w:rsidTr="00667CDA">
        <w:trPr>
          <w:trHeight w:val="60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17711,77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17711,77</w:t>
            </w:r>
          </w:p>
        </w:tc>
      </w:tr>
      <w:tr w:rsidR="00294C42" w:rsidRPr="00355C04" w:rsidTr="00667CDA">
        <w:trPr>
          <w:trHeight w:val="600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5,0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9285,16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3135,16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3100,0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3050,0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1.3.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600,0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1.4.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58180D">
            <w:pPr>
              <w:jc w:val="both"/>
              <w:rPr>
                <w:bCs/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Расходы на благоустройство территории </w:t>
            </w:r>
            <w:proofErr w:type="gramStart"/>
            <w:r w:rsidR="0058180D" w:rsidRPr="00355C04">
              <w:rPr>
                <w:bCs/>
                <w:sz w:val="22"/>
                <w:szCs w:val="22"/>
              </w:rPr>
              <w:t>г</w:t>
            </w:r>
            <w:proofErr w:type="gramEnd"/>
            <w:r w:rsidR="0058180D" w:rsidRPr="00355C04">
              <w:rPr>
                <w:bCs/>
                <w:sz w:val="22"/>
                <w:szCs w:val="22"/>
              </w:rPr>
              <w:t>. Сычевка муниципального образования «</w:t>
            </w:r>
            <w:proofErr w:type="spellStart"/>
            <w:r w:rsidR="0058180D" w:rsidRPr="00355C04">
              <w:rPr>
                <w:bCs/>
                <w:sz w:val="22"/>
                <w:szCs w:val="22"/>
              </w:rPr>
              <w:t>Сычевский</w:t>
            </w:r>
            <w:proofErr w:type="spellEnd"/>
            <w:r w:rsidR="0058180D" w:rsidRPr="00355C04">
              <w:rPr>
                <w:bCs/>
                <w:sz w:val="22"/>
                <w:szCs w:val="22"/>
              </w:rPr>
              <w:t xml:space="preserve"> муниципальный округ» Смоленской  области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Проведение текущего ремонта муниципального жилья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1.6.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Расходы по содержанию городской бани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1125,95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904,3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221,65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</w:tr>
      <w:tr w:rsidR="00294C42" w:rsidRPr="00355C04" w:rsidTr="00667CDA">
        <w:trPr>
          <w:trHeight w:val="936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1.7.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80D" w:rsidRPr="00355C04" w:rsidRDefault="00294C42" w:rsidP="0058180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55C04">
              <w:rPr>
                <w:bCs/>
                <w:sz w:val="22"/>
                <w:szCs w:val="22"/>
              </w:rPr>
              <w:t xml:space="preserve">Субсидии </w:t>
            </w:r>
          </w:p>
          <w:p w:rsidR="00294C42" w:rsidRPr="00355C04" w:rsidRDefault="00294C42" w:rsidP="0038791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55C04">
              <w:rPr>
                <w:bCs/>
                <w:sz w:val="22"/>
                <w:szCs w:val="22"/>
              </w:rPr>
              <w:t>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1000,00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</w:tr>
      <w:tr w:rsidR="00294C42" w:rsidRPr="00355C04" w:rsidTr="00355C04">
        <w:trPr>
          <w:trHeight w:val="1109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52,63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52,63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89845,1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31849,35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4221,65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53774,1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</w:t>
            </w:r>
            <w:r w:rsidR="00667CDA" w:rsidRPr="00355C04">
              <w:rPr>
                <w:sz w:val="22"/>
                <w:szCs w:val="22"/>
              </w:rPr>
              <w:t>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1A" w:rsidRPr="00355C04" w:rsidRDefault="00294C42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5C04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="000E731A" w:rsidRPr="00355C04">
              <w:rPr>
                <w:rFonts w:ascii="Times New Roman" w:hAnsi="Times New Roman" w:cs="Times New Roman"/>
                <w:sz w:val="22"/>
                <w:szCs w:val="22"/>
              </w:rPr>
              <w:t xml:space="preserve">«Совершенствование системы патриотического воспитания граждан </w:t>
            </w:r>
          </w:p>
          <w:p w:rsidR="00294C42" w:rsidRPr="00355C04" w:rsidRDefault="000E731A" w:rsidP="003879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5C04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355C04"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proofErr w:type="gramEnd"/>
            <w:r w:rsidRPr="00355C04">
              <w:rPr>
                <w:rFonts w:ascii="Times New Roman" w:hAnsi="Times New Roman" w:cs="Times New Roman"/>
                <w:bCs/>
                <w:sz w:val="22"/>
                <w:szCs w:val="22"/>
              </w:rPr>
              <w:t>. Сычевка муниципального образования «</w:t>
            </w:r>
            <w:proofErr w:type="spellStart"/>
            <w:r w:rsidRPr="00355C04">
              <w:rPr>
                <w:rFonts w:ascii="Times New Roman" w:hAnsi="Times New Roman" w:cs="Times New Roman"/>
                <w:bCs/>
                <w:sz w:val="22"/>
                <w:szCs w:val="22"/>
              </w:rPr>
              <w:t>Сычевский</w:t>
            </w:r>
            <w:proofErr w:type="spellEnd"/>
            <w:r w:rsidRPr="00355C0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муниципальный округ»  Смоленской  области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294C42" w:rsidRPr="00355C04" w:rsidTr="00667CDA">
        <w:trPr>
          <w:trHeight w:val="781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2.1.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Ремонт и восстановление воинских захоронений, памятников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250,0</w:t>
            </w:r>
          </w:p>
          <w:p w:rsidR="00294C42" w:rsidRPr="00355C04" w:rsidRDefault="00294C42" w:rsidP="00387914">
            <w:pPr>
              <w:pStyle w:val="13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0,0</w:t>
            </w:r>
          </w:p>
        </w:tc>
      </w:tr>
      <w:tr w:rsidR="00294C42" w:rsidRPr="00355C04" w:rsidTr="00667CD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DA" w:rsidRPr="00355C04" w:rsidRDefault="00294C42" w:rsidP="00667CDA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>250,0</w:t>
            </w:r>
          </w:p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 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 0,0</w:t>
            </w:r>
          </w:p>
        </w:tc>
      </w:tr>
      <w:tr w:rsidR="00294C42" w:rsidRPr="00355C04" w:rsidTr="00667CDA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55C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90095,1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32099,35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4221,65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53774,1</w:t>
            </w:r>
          </w:p>
        </w:tc>
      </w:tr>
      <w:tr w:rsidR="00294C42" w:rsidRPr="00355C04" w:rsidTr="00667CDA">
        <w:trPr>
          <w:trHeight w:val="61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в т.ч. федеральный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45575,73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13282,5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32293,23</w:t>
            </w:r>
          </w:p>
        </w:tc>
      </w:tr>
      <w:tr w:rsidR="00294C42" w:rsidRPr="00355C04" w:rsidTr="00667CDA">
        <w:trPr>
          <w:trHeight w:val="61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 xml:space="preserve">в т.ч. </w:t>
            </w:r>
          </w:p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25993,47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8281,7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 xml:space="preserve"> 0,0</w:t>
            </w:r>
          </w:p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17711,77</w:t>
            </w:r>
          </w:p>
        </w:tc>
      </w:tr>
      <w:tr w:rsidR="00294C42" w:rsidRPr="00355C04" w:rsidTr="00667CDA">
        <w:trPr>
          <w:trHeight w:val="75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C42" w:rsidRPr="00355C04" w:rsidRDefault="00294C42" w:rsidP="00387914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в т.ч. 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18525,9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10535,15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4221,65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42" w:rsidRPr="00355C04" w:rsidRDefault="00294C42" w:rsidP="00387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355C04">
              <w:rPr>
                <w:color w:val="auto"/>
                <w:sz w:val="22"/>
                <w:szCs w:val="22"/>
              </w:rPr>
              <w:t>3769,1</w:t>
            </w:r>
          </w:p>
        </w:tc>
      </w:tr>
    </w:tbl>
    <w:p w:rsidR="00294C42" w:rsidRPr="00EF46BC" w:rsidRDefault="00294C42" w:rsidP="000E73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94C42" w:rsidRPr="00EF46BC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BF" w:rsidRDefault="002772BF" w:rsidP="00FA6D0B">
      <w:r>
        <w:separator/>
      </w:r>
    </w:p>
  </w:endnote>
  <w:endnote w:type="continuationSeparator" w:id="0">
    <w:p w:rsidR="002772BF" w:rsidRDefault="002772B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14" w:rsidRDefault="0038791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14" w:rsidRDefault="0038791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14" w:rsidRDefault="0038791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BF" w:rsidRDefault="002772BF" w:rsidP="00FA6D0B">
      <w:r>
        <w:separator/>
      </w:r>
    </w:p>
  </w:footnote>
  <w:footnote w:type="continuationSeparator" w:id="0">
    <w:p w:rsidR="002772BF" w:rsidRDefault="002772B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14" w:rsidRDefault="0038791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14" w:rsidRDefault="00387914">
    <w:pPr>
      <w:pStyle w:val="ac"/>
      <w:jc w:val="center"/>
    </w:pPr>
  </w:p>
  <w:p w:rsidR="00387914" w:rsidRDefault="00D31373">
    <w:pPr>
      <w:pStyle w:val="ac"/>
      <w:jc w:val="center"/>
    </w:pPr>
    <w:fldSimple w:instr=" PAGE   \* MERGEFORMAT ">
      <w:r w:rsidR="00E36DDE">
        <w:rPr>
          <w:noProof/>
        </w:rPr>
        <w:t>3</w:t>
      </w:r>
    </w:fldSimple>
  </w:p>
  <w:p w:rsidR="00387914" w:rsidRDefault="0038791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14" w:rsidRDefault="003879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4F413DCB"/>
    <w:multiLevelType w:val="hybridMultilevel"/>
    <w:tmpl w:val="4E429200"/>
    <w:lvl w:ilvl="0" w:tplc="50646BDC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283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97C63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8B"/>
    <w:rsid w:val="000E4BC2"/>
    <w:rsid w:val="000E59EF"/>
    <w:rsid w:val="000E5EDD"/>
    <w:rsid w:val="000E6035"/>
    <w:rsid w:val="000E638B"/>
    <w:rsid w:val="000E6A00"/>
    <w:rsid w:val="000E731A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19C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3C2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2FEC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2BF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5D6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C42"/>
    <w:rsid w:val="00294D41"/>
    <w:rsid w:val="00294F30"/>
    <w:rsid w:val="00295E61"/>
    <w:rsid w:val="00296CC5"/>
    <w:rsid w:val="00297874"/>
    <w:rsid w:val="00297ACA"/>
    <w:rsid w:val="002A09BA"/>
    <w:rsid w:val="002A0DBC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227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BE2"/>
    <w:rsid w:val="002C1C8C"/>
    <w:rsid w:val="002C2652"/>
    <w:rsid w:val="002C3A36"/>
    <w:rsid w:val="002C3EB0"/>
    <w:rsid w:val="002C4BAD"/>
    <w:rsid w:val="002C4DA7"/>
    <w:rsid w:val="002C50DC"/>
    <w:rsid w:val="002C54AC"/>
    <w:rsid w:val="002C655B"/>
    <w:rsid w:val="002C691A"/>
    <w:rsid w:val="002C6D1D"/>
    <w:rsid w:val="002C770C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90"/>
    <w:rsid w:val="003139FC"/>
    <w:rsid w:val="00313BD3"/>
    <w:rsid w:val="00313E35"/>
    <w:rsid w:val="00313EE2"/>
    <w:rsid w:val="003147A5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3EF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479FD"/>
    <w:rsid w:val="00351037"/>
    <w:rsid w:val="00351925"/>
    <w:rsid w:val="00351F0C"/>
    <w:rsid w:val="003525FE"/>
    <w:rsid w:val="003529F6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04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914"/>
    <w:rsid w:val="00387CA3"/>
    <w:rsid w:val="00387F0A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6B1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A8E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6A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4FF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27CB"/>
    <w:rsid w:val="004C328A"/>
    <w:rsid w:val="004C3B48"/>
    <w:rsid w:val="004C4048"/>
    <w:rsid w:val="004C4E4C"/>
    <w:rsid w:val="004C50F1"/>
    <w:rsid w:val="004C54AB"/>
    <w:rsid w:val="004C67D4"/>
    <w:rsid w:val="004C6879"/>
    <w:rsid w:val="004C7636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2D4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48D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0997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3A7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80D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17F"/>
    <w:rsid w:val="005A026E"/>
    <w:rsid w:val="005A0563"/>
    <w:rsid w:val="005A0CEE"/>
    <w:rsid w:val="005A1346"/>
    <w:rsid w:val="005A1C0C"/>
    <w:rsid w:val="005A1D9A"/>
    <w:rsid w:val="005A1E8A"/>
    <w:rsid w:val="005A2084"/>
    <w:rsid w:val="005A21E1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31E"/>
    <w:rsid w:val="005E44EE"/>
    <w:rsid w:val="005E4645"/>
    <w:rsid w:val="005E496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67CDA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3B8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645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26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4DB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23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5DC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706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113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66E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A77C4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344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7D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8D4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3C5A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6D4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373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6DDE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42E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2F1A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501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5CF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BB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190EA1-8A6B-4995-843A-E6814F41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25</cp:revision>
  <cp:lastPrinted>2026-04-09T12:38:00Z</cp:lastPrinted>
  <dcterms:created xsi:type="dcterms:W3CDTF">2026-04-09T06:11:00Z</dcterms:created>
  <dcterms:modified xsi:type="dcterms:W3CDTF">2026-04-09T12:39:00Z</dcterms:modified>
</cp:coreProperties>
</file>