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бюджете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29</w:t>
      </w:r>
      <w:r>
        <w:rPr>
          <w:rFonts w:ascii="Times New Roman" w:hAnsi="Times New Roman"/>
          <w:sz w:val="28"/>
        </w:rPr>
        <w:t xml:space="preserve"> нарушени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в бюджетного законодательства   для устранения которы</w:t>
      </w:r>
      <w:r>
        <w:rPr>
          <w:rFonts w:ascii="Times New Roman" w:hAnsi="Times New Roman"/>
          <w:sz w:val="28"/>
        </w:rPr>
        <w:t>х прокуратурой района внесено 13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13</w:t>
      </w:r>
      <w:r>
        <w:rPr>
          <w:rFonts w:ascii="Times New Roman" w:hAnsi="Times New Roman"/>
          <w:sz w:val="28"/>
        </w:rPr>
        <w:t xml:space="preserve"> должностных лиц, принесен 1 протест на незаконный нормативно – правовой акт, который рассмотрен и удовлетворен.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2026-06-23T00:11:56Z</dcterms:modified>
</cp:coreProperties>
</file>