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обеспечении граждан в местах массового пребывания 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25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об обеспечении безопасности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в местах массового пребывания для устранения которы</w:t>
      </w:r>
      <w:r>
        <w:rPr>
          <w:rFonts w:ascii="Times New Roman" w:hAnsi="Times New Roman"/>
          <w:sz w:val="28"/>
        </w:rPr>
        <w:t>х прокуратурой района внесено 12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12</w:t>
      </w:r>
      <w:r>
        <w:rPr>
          <w:rFonts w:ascii="Times New Roman" w:hAnsi="Times New Roman"/>
          <w:sz w:val="28"/>
        </w:rPr>
        <w:t xml:space="preserve"> должностных лиц, 5 должностных лиц привлечено к административной ответственности.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2026-06-23T05:40:11Z</dcterms:modified>
</cp:coreProperties>
</file>