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5000000">
            <w:pPr>
              <w:pStyle w:val="Style_3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 Федерации</w:t>
            </w:r>
          </w:p>
          <w:p w14:paraId="06000000">
            <w:pPr>
              <w:pStyle w:val="Style_3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7000000">
            <w:pPr>
              <w:pStyle w:val="Style_4"/>
              <w:widowControl w:val="1"/>
              <w:spacing w:line="240" w:lineRule="auto"/>
              <w:ind w:firstLine="0" w:left="-284"/>
              <w:jc w:val="center"/>
              <w:outlineLvl w:val="2"/>
              <w:rPr>
                <w:sz w:val="36"/>
              </w:rPr>
            </w:pPr>
            <w:r>
              <w:rPr>
                <w:sz w:val="36"/>
              </w:rPr>
              <w:t xml:space="preserve">Прокуратура Смоленской области        </w:t>
            </w:r>
          </w:p>
          <w:p w14:paraId="08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Сычевского района</w:t>
            </w:r>
          </w:p>
          <w:p w14:paraId="09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A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B000000">
      <w:pPr>
        <w:widowControl w:val="1"/>
        <w:spacing w:line="240" w:lineRule="exact"/>
        <w:ind/>
        <w:rPr>
          <w:b w:val="1"/>
        </w:rPr>
      </w:pPr>
    </w:p>
    <w:p w14:paraId="0C000000">
      <w:pPr>
        <w:pStyle w:val="Style_5"/>
        <w:widowControl w:val="1"/>
        <w:spacing w:after="0" w:before="0"/>
        <w:ind w:firstLine="2835"/>
        <w:jc w:val="both"/>
        <w:rPr>
          <w:color w:val="333333"/>
          <w:sz w:val="27"/>
        </w:rPr>
      </w:pPr>
      <w:bookmarkStart w:id="1" w:name="_GoBack"/>
      <w:bookmarkEnd w:id="1"/>
      <w:r>
        <w:rPr>
          <w:color w:val="333333"/>
          <w:sz w:val="27"/>
        </w:rPr>
        <w:t>Противодействие коррупции</w:t>
      </w:r>
    </w:p>
    <w:p w14:paraId="0D000000">
      <w:pPr>
        <w:pStyle w:val="Style_5"/>
        <w:widowControl w:val="1"/>
        <w:spacing w:after="0" w:before="0"/>
        <w:ind w:firstLine="708"/>
        <w:jc w:val="both"/>
        <w:rPr>
          <w:color w:val="333333"/>
          <w:sz w:val="27"/>
        </w:rPr>
      </w:pPr>
    </w:p>
    <w:p w14:paraId="0E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Передача и получение взятки в российском законодательстве являются противозаконными и ответственность за указанные действия предусмотрена Уголовным кодексом Российской Федерации (ст. 290, 291 УК РФ).</w:t>
      </w:r>
    </w:p>
    <w:p w14:paraId="0F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Взяточничество является наиболее распространенным проявлением коррупции.</w:t>
      </w:r>
    </w:p>
    <w:p w14:paraId="10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Общественная опасность заключается в дезорганизации работы государственных органов, нарушении равенства прав и свобод человека.</w:t>
      </w:r>
    </w:p>
    <w:p w14:paraId="11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Под взяткой понимается получение должностным лицом вознаграждения в виде денежных средств, ценностей, материальных благ, иного имущества или же оказания услуг, за совершение действий или же отказ от их совершения (бездействие) в пользу лица, предоставляющего такое вознаграждение. Совершаемое за это вознаграждение действие (бездействие) должно входить в компетенцию должностного лица, либо он должен иметь возможность влиять на принятие решения по вопросу, с которым к нему обратился взяткодатель.</w:t>
      </w:r>
    </w:p>
    <w:p w14:paraId="12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Взяткой могут считаться не только деньги, ценные бумаги и объекты недвижимости, а также и изделия из драгоценных металлов, продукты питания, видеотехника, бытовые приборы, оплата лечения, строительных или ремонтных работ, оплата развлечений, предоставляемые безвозмездно или по заниженной стоимости.</w:t>
      </w:r>
    </w:p>
    <w:p w14:paraId="13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В зависимости от размера взятки и иных обстоятельств получение (дача) взятки может наказываться лишением свободы на срок до пятнадцати лет, что определяет отнесение особо квалифицированных составов данных преступлений к числу особо тяжких уголовно наказуемых деяний.</w:t>
      </w:r>
    </w:p>
    <w:p w14:paraId="14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Уголовная ответственность за дачу взятки наступает с 16 лет.</w:t>
      </w:r>
    </w:p>
    <w:p w14:paraId="15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Взятка нередко дается через посредников. Посредничество во взятке также является уголовно-наказуемым деянием (ст. 291.1 УК РФ).</w:t>
      </w:r>
    </w:p>
    <w:p w14:paraId="16000000">
      <w:pPr>
        <w:pStyle w:val="Style_5"/>
        <w:widowControl w:val="1"/>
        <w:spacing w:after="0" w:before="0"/>
        <w:ind w:firstLine="708"/>
        <w:jc w:val="both"/>
        <w:rPr>
          <w:rFonts w:ascii="Roboto" w:hAnsi="Roboto"/>
          <w:color w:val="333333"/>
          <w:sz w:val="28"/>
        </w:rPr>
      </w:pPr>
      <w:r>
        <w:rPr>
          <w:color w:val="333333"/>
          <w:sz w:val="28"/>
        </w:rPr>
        <w:t>В случае склонения к даче взятки необходимо незамедлительно обратиться в дежурную часть органа внутренних дел, следственный комитет или в прокуратуру.</w:t>
      </w:r>
    </w:p>
    <w:p w14:paraId="17000000">
      <w:pPr>
        <w:widowControl w:val="1"/>
        <w:spacing w:after="0" w:line="240" w:lineRule="exact"/>
        <w:ind/>
        <w:jc w:val="center"/>
        <w:rPr>
          <w:rFonts w:ascii="Times New Roman" w:hAnsi="Times New Roman"/>
          <w:color w:themeColor="text1"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4_ch" w:type="character">
    <w:name w:val="heading 3"/>
    <w:basedOn w:val="Style_6_ch"/>
    <w:link w:val="Style_4"/>
    <w:rPr>
      <w:rFonts w:ascii="Times New Roman" w:hAnsi="Times New Roman"/>
      <w:b w:val="1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2" w:type="paragraph">
    <w:name w:val="footer"/>
    <w:basedOn w:val="Style_6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6_ch"/>
    <w:link w:val="Style_12"/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6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3" w:type="paragraph">
    <w:name w:val="heading 1"/>
    <w:basedOn w:val="Style_6"/>
    <w:next w:val="Style_6"/>
    <w:link w:val="Style_3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0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llowedHyperlink"/>
    <w:basedOn w:val="Style_17"/>
    <w:link w:val="Style_22_ch"/>
    <w:rPr>
      <w:color w:themeColor="followedHyperlink" w:val="954F72"/>
      <w:u w:val="single"/>
    </w:rPr>
  </w:style>
  <w:style w:styleId="Style_22_ch" w:type="character">
    <w:name w:val="FollowedHyperlink"/>
    <w:basedOn w:val="Style_17_ch"/>
    <w:link w:val="Style_22"/>
    <w:rPr>
      <w:color w:themeColor="followedHyperlink" w:val="954F72"/>
      <w:u w:val="single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2024-03-14T16:01:00Z</dcterms:created>
  <dcterms:modified xsi:type="dcterms:W3CDTF">2025-12-23T17:47:52Z</dcterms:modified>
</cp:coreProperties>
</file>