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СМОЛЕНСКАЯ ТРАНСПОРТНАЯ ПРОКУРАТУРА ИНФОРМИРУЕТ</w:t>
      </w:r>
    </w:p>
    <w:p w14:paraId="02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Особенности перемещения культурных ценностей через таможенную границу</w:t>
      </w:r>
    </w:p>
    <w:p w14:paraId="04000000">
      <w:pPr>
        <w:widowControl w:val="1"/>
        <w:spacing w:after="0" w:before="0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Культурными ценностями являются движимые предметы материального мира независимо от времени их создания, имеющие историческое, художественное, научное или культурное значение.</w:t>
      </w:r>
    </w:p>
    <w:p w14:paraId="05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перемещении через таможенную границу Российской Федерации контролю подлежат культурные ценности, определенные разделом 2.20 Единого перечня товаров, к которым применяются запреты или ограничения на ввоз или вывоз государствами – членами ЕАЭС в торговле с третьими странами (далее – Единый перечень), утвержденного 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instrText>HYPERLINK "https://eec.eaeunion.org/comission/department/catr/nontariff/ep.new.php"</w:instrTex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Решением Коллегии Евразийской экономической комиссии от 21.04.2015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 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instrText>HYPERLINK "https://eec.eaeunion.org/comission/department/catr/nontariff/ep.new.php"</w:instrTex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№ 30 «О мерах нетарифного регулирования»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.</w:t>
      </w:r>
    </w:p>
    <w:p w14:paraId="06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таким предметам относятся:</w:t>
      </w:r>
    </w:p>
    <w:p w14:paraId="07000000">
      <w:pPr>
        <w:widowControl w:val="1"/>
        <w:numPr>
          <w:ilvl w:val="0"/>
          <w:numId w:val="1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Культурные ценности, включенные в состав музейного, архивного и библиотечных фондов государств - членов Евразийского экономического союза.</w:t>
      </w:r>
    </w:p>
    <w:p w14:paraId="08000000">
      <w:pPr>
        <w:widowControl w:val="1"/>
        <w:numPr>
          <w:ilvl w:val="0"/>
          <w:numId w:val="2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Предметы и коллекции, имеющие историческую научную, художественную или иную культурную ценность, связанные со знаменательными событиями в жизни народов, развитием общества и государства, с историей науки и техники:</w:t>
      </w:r>
    </w:p>
    <w:p w14:paraId="09000000">
      <w:pPr>
        <w:widowControl w:val="1"/>
        <w:numPr>
          <w:ilvl w:val="0"/>
          <w:numId w:val="3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Мемориальные предметы, относящиеся к жизни выдающихся политических, государственных деятелей, национальных героев, деятелей науки, литературы и искусства, независимо от времени их создания;</w:t>
      </w:r>
    </w:p>
    <w:p w14:paraId="0A000000">
      <w:pPr>
        <w:widowControl w:val="1"/>
        <w:numPr>
          <w:ilvl w:val="0"/>
          <w:numId w:val="3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Предметы и коллекции обмундирования и снаряжения, военного, производственного и иного назначения, созданные 100 лет назад и более, а также огнестрельное оружие, изготовленное в период 1900 - 1945 года, и холодное оружие, изготовленное 50 лет назад и более;</w:t>
      </w:r>
    </w:p>
    <w:p w14:paraId="0B000000">
      <w:pPr>
        <w:widowControl w:val="1"/>
        <w:numPr>
          <w:ilvl w:val="0"/>
          <w:numId w:val="3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Антикварное оружие (огнестрельное, метательное и пневматическое оружие, изготовленное до конца 1899 года за исключением огнестрельного оружия, изготовленного для стрельбы унитарными патронами центрального боя), а также холодное оружие, изготовленное до конца 1945 года);</w:t>
      </w:r>
    </w:p>
    <w:p w14:paraId="0C000000">
      <w:pPr>
        <w:widowControl w:val="1"/>
        <w:numPr>
          <w:ilvl w:val="0"/>
          <w:numId w:val="3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Предметы техники, приборы, инструменты, аппаратура, оборудование военного, научного, производственного и бытового назначения, созданные 100 лет назад и более;</w:t>
      </w:r>
    </w:p>
    <w:p w14:paraId="0D000000">
      <w:pPr>
        <w:widowControl w:val="1"/>
        <w:numPr>
          <w:ilvl w:val="0"/>
          <w:numId w:val="3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Транспортные средства, произведенные до 1 января </w:t>
      </w:r>
      <w:r>
        <w:rPr>
          <w:rFonts w:ascii="Times New Roman" w:hAnsi="Times New Roman"/>
          <w:color w:val="000000"/>
          <w:sz w:val="28"/>
        </w:rPr>
        <w:t>1951 г</w:t>
      </w:r>
      <w:r>
        <w:rPr>
          <w:rFonts w:ascii="Times New Roman" w:hAnsi="Times New Roman"/>
          <w:color w:val="000000"/>
          <w:sz w:val="28"/>
        </w:rPr>
        <w:t>. включительно;</w:t>
      </w:r>
    </w:p>
    <w:p w14:paraId="0E000000">
      <w:pPr>
        <w:widowControl w:val="1"/>
        <w:numPr>
          <w:ilvl w:val="0"/>
          <w:numId w:val="3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Предметы и их фрагменты, полученные в результате археологических раскопок (как санкционированных, так и несанкционированных) и археологических открытий независимо от времени их выявления.</w:t>
      </w:r>
    </w:p>
    <w:p w14:paraId="0F000000">
      <w:pPr>
        <w:widowControl w:val="1"/>
        <w:numPr>
          <w:ilvl w:val="0"/>
          <w:numId w:val="4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Художественные ценности (за исключением созданных менее 50 лет назад живописных, скульптурных и графических работ, предметов декоративно-прикладного искусства и отправления религиозных культов различных конфессий, дизайнерских проектов, инсталляций сувенирных изделий, предметов детского творчества, а также предметов быта независимо от времени их создания):</w:t>
      </w:r>
    </w:p>
    <w:p w14:paraId="10000000">
      <w:pPr>
        <w:widowControl w:val="1"/>
        <w:numPr>
          <w:ilvl w:val="0"/>
          <w:numId w:val="5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Произведения живописи, скульптуры;</w:t>
      </w:r>
    </w:p>
    <w:p w14:paraId="11000000">
      <w:pPr>
        <w:widowControl w:val="1"/>
        <w:numPr>
          <w:ilvl w:val="0"/>
          <w:numId w:val="5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Произведения графики и оригинальные графические печатные формы;</w:t>
      </w:r>
    </w:p>
    <w:p w14:paraId="12000000">
      <w:pPr>
        <w:widowControl w:val="1"/>
        <w:numPr>
          <w:ilvl w:val="0"/>
          <w:numId w:val="5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Предметы отправления религиозных культов различных конфессий;</w:t>
      </w:r>
    </w:p>
    <w:p w14:paraId="13000000">
      <w:pPr>
        <w:widowControl w:val="1"/>
        <w:numPr>
          <w:ilvl w:val="0"/>
          <w:numId w:val="5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Предметы декоративно-прикладного искусства.</w:t>
      </w:r>
    </w:p>
    <w:p w14:paraId="14000000">
      <w:pPr>
        <w:widowControl w:val="1"/>
        <w:numPr>
          <w:ilvl w:val="0"/>
          <w:numId w:val="6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Печатные издания, созданные 100 лет назад и более.</w:t>
      </w:r>
    </w:p>
    <w:p w14:paraId="15000000">
      <w:pPr>
        <w:widowControl w:val="1"/>
        <w:numPr>
          <w:ilvl w:val="0"/>
          <w:numId w:val="7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Монеты, боны, банкноты и ценные бумаги, созданные 100 лет назад и более.</w:t>
      </w:r>
    </w:p>
    <w:p w14:paraId="16000000">
      <w:pPr>
        <w:widowControl w:val="1"/>
        <w:numPr>
          <w:ilvl w:val="0"/>
          <w:numId w:val="8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Предметы фалеристики: ордена, медали (за исключением личных наград, на ношение которых имеются орденские книжки или наградные удостоверения, вывозимых самим награжденным), а также памятные и наградные знаки, настольные медали и печати, значки, жетоны и др., созданные более 50 лет назад.</w:t>
      </w:r>
    </w:p>
    <w:p w14:paraId="17000000">
      <w:pPr>
        <w:widowControl w:val="1"/>
        <w:numPr>
          <w:ilvl w:val="0"/>
          <w:numId w:val="9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Уникальные и редкие музыкальные инструменты и смычки, независимо от времени изготовления (за исключением фабричного (мануфактурного) изготовления).</w:t>
      </w:r>
    </w:p>
    <w:p w14:paraId="18000000">
      <w:pPr>
        <w:widowControl w:val="1"/>
        <w:numPr>
          <w:ilvl w:val="0"/>
          <w:numId w:val="10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Знаки почтовой оплаты (почтовые марки и блоки), маркированные конверты, налоговые и аналогичные марки, созданные 100 лет назад и более (за исключением почтовых карточек и открытых писем независимо от времени их создания).</w:t>
      </w:r>
    </w:p>
    <w:p w14:paraId="19000000">
      <w:pPr>
        <w:widowControl w:val="1"/>
        <w:numPr>
          <w:ilvl w:val="0"/>
          <w:numId w:val="11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Редкие коллекции и образцы - предметы, представляющие интерес для таких областей науки, как биология (анатомия, ботаника, зоология, палеонтология), минералогия, метеоритика, независимо от времени возникновения или создания.</w:t>
      </w:r>
    </w:p>
    <w:p w14:paraId="1A000000">
      <w:pPr>
        <w:widowControl w:val="1"/>
        <w:numPr>
          <w:ilvl w:val="0"/>
          <w:numId w:val="12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Рукописи, документальные памятники, архивные документы, созданные 50 лет назад и более.».</w:t>
      </w:r>
    </w:p>
    <w:p w14:paraId="1B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Ввоз культурных ценностей</w:t>
      </w:r>
    </w:p>
    <w:p w14:paraId="1C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ввозе в Российскую Федерацию культурных ценностей, в том числе на период временного пребывания в Российской Федерации, осуществляется их таможенное декларирование в письменной форме с применением 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instrText>HYPERLINK "https://customs.gov.ru/fiz/elektronnyj-blank-passazhirskoj-tamozhennoj-deklaraczii"</w:instrTex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пассажирской таможенной декларации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.</w:t>
      </w:r>
    </w:p>
    <w:p w14:paraId="1D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Культурные ценности, документы национальных архивных фондов и оригиналы архивных документов, включенные Единый перечень, ввозятся с освобождением от уплаты таможенных пошлин, налогов вне зависимости от их стоимости и веса, при условии подтверждения их отнесения к таковым в соответствии с законодательством Российской Федерации.</w:t>
      </w:r>
    </w:p>
    <w:p w14:paraId="1E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Таможенное декларирование ввозимых культурных ценностей сопровождается представлением таможенному органу заключения уполномоченного эксперта об отнесении перемещаемых предметов к культурным ценностям (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instrText>HYPERLINK "https://www.mkrf.ru/about/departments/departament_kulturnogo_naslediya/activities/409789/"</w:instrTex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список уполномоченных экспертов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 размещен на сайте Минкультуры России).</w:t>
      </w:r>
    </w:p>
    <w:p w14:paraId="1F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Вывоз культурных ценностей</w:t>
      </w:r>
    </w:p>
    <w:p w14:paraId="20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Вывоз физическими лицами культурных ценностей в качестве товаров для личного пользования осуществляется при наличии заключения (разрешительного документа) и предусматривает подачу пассажирской таможенной декларации.</w:t>
      </w:r>
    </w:p>
    <w:p w14:paraId="21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Вывоз физическими лиц</w:t>
      </w:r>
      <w:r>
        <w:rPr>
          <w:rFonts w:ascii="Times New Roman" w:hAnsi="Times New Roman"/>
          <w:color w:val="000000"/>
          <w:sz w:val="28"/>
        </w:rPr>
        <w:t>ами ранее ввезенных культурных ценностей в качестве товаров для личного пользования, осуществляется при представлении таможенному органу пассажирской таможенной декларации, оформленной при ввозе культурных ценностей, содержащей идентификационные признаки указанных культурных ценностей (наименование, автор, год создания, материал и техника создания, размеры, для струнных смычковых музыкальных инструментов – паспорт на музыкальный инструмент (при наличии).</w:t>
      </w:r>
    </w:p>
    <w:p w14:paraId="22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случае отсутствия пассажирской таможенной декларации, оформленной при ввозе культурных ценностей в качестве товаров для личного пользования, вывоз физическими лицами культурных ценностей в качестве товаров для личного пользования осуществляется при наличии заключения (разрешительного документа), выданного территориальным управлением Минкультуры России, либо письменного уведомления территориального управления Минкультуры России о том, что заключение (разрешительный документ) на вывоз соответствующих культурных ценностей не требуется.</w:t>
      </w:r>
    </w:p>
    <w:p w14:paraId="23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случае вывоза физическими лицами оружия, имеющего культурную ценность, но не отнесенного к антикварному оружию, в качестве товаров для личного пользования дополнительно к заключению (разрешительному документу), представляется заключение (разрешительный документ), выданное Федеральной службой войск национальной гвардии Российской Федерации. </w:t>
      </w:r>
    </w:p>
    <w:p w14:paraId="24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ate-display-single"/>
    <w:basedOn w:val="Style_13"/>
    <w:link w:val="Style_12_ch"/>
  </w:style>
  <w:style w:styleId="Style_12_ch" w:type="character">
    <w:name w:val="date-display-single"/>
    <w:basedOn w:val="Style_13_ch"/>
    <w:link w:val="Style_12"/>
  </w:style>
  <w:style w:styleId="Style_2" w:type="paragraph">
    <w:name w:val="Normal (Web)"/>
    <w:basedOn w:val="Style_5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5_ch"/>
    <w:link w:val="Style_2"/>
  </w:style>
  <w:style w:styleId="Style_14" w:type="paragraph">
    <w:name w:val="toc 3"/>
    <w:next w:val="Style_5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ing 1"/>
    <w:basedOn w:val="Style_5"/>
    <w:link w:val="Style_1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5_ch"/>
    <w:link w:val="Style_1"/>
    <w:rPr>
      <w:b w:val="1"/>
      <w:sz w:val="48"/>
    </w:rPr>
  </w:style>
  <w:style w:styleId="Style_3" w:type="paragraph">
    <w:name w:val="Hyperlink"/>
    <w:basedOn w:val="Style_13"/>
    <w:link w:val="Style_3_ch"/>
    <w:rPr>
      <w:color w:val="0000FF"/>
      <w:u w:val="single"/>
    </w:rPr>
  </w:style>
  <w:style w:styleId="Style_3_ch" w:type="character">
    <w:name w:val="Hyperlink"/>
    <w:basedOn w:val="Style_13_ch"/>
    <w:link w:val="Style_3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5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gw-current-news__date"/>
    <w:basedOn w:val="Style_13"/>
    <w:link w:val="Style_20_ch"/>
  </w:style>
  <w:style w:styleId="Style_20_ch" w:type="character">
    <w:name w:val="gw-current-news__date"/>
    <w:basedOn w:val="Style_13_ch"/>
    <w:link w:val="Style_20"/>
  </w:style>
  <w:style w:styleId="Style_4" w:type="paragraph">
    <w:name w:val="Strong"/>
    <w:basedOn w:val="Style_13"/>
    <w:link w:val="Style_4_ch"/>
    <w:rPr>
      <w:b w:val="1"/>
    </w:rPr>
  </w:style>
  <w:style w:styleId="Style_4_ch" w:type="character">
    <w:name w:val="Strong"/>
    <w:basedOn w:val="Style_13_ch"/>
    <w:link w:val="Style_4"/>
    <w:rPr>
      <w:b w:val="1"/>
    </w:rPr>
  </w:style>
  <w:style w:styleId="Style_21" w:type="paragraph">
    <w:name w:val="toc 8"/>
    <w:next w:val="Style_5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2" w:type="paragraph">
    <w:name w:val="toc 5"/>
    <w:next w:val="Style_5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2026-05-28T18:42:44Z</dcterms:created>
  <dcterms:modified xsi:type="dcterms:W3CDTF">2026-05-28T18:52:13Z</dcterms:modified>
</cp:coreProperties>
</file>